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8.xml" ContentType="application/vnd.openxmlformats-officedocument.drawingml.chart+xml"/>
  <Override PartName="/word/charts/colors7.xml" ContentType="application/vnd.ms-office.chartcolorstyle+xml"/>
  <Override PartName="/word/charts/style8.xml" ContentType="application/vnd.ms-office.chartstyle+xml"/>
  <Override PartName="/word/charts/style7.xml" ContentType="application/vnd.ms-office.chartstyle+xml"/>
  <Override PartName="/word/charts/chart7.xml" ContentType="application/vnd.openxmlformats-officedocument.drawingml.chart+xml"/>
  <Override PartName="/word/charts/colors6.xml" ContentType="application/vnd.ms-office.chartcolorstyle+xml"/>
  <Override PartName="/word/theme/themeOverride3.xml" ContentType="application/vnd.openxmlformats-officedocument.themeOverride+xml"/>
  <Override PartName="/word/theme/theme1.xml" ContentType="application/vnd.openxmlformats-officedocument.theme+xml"/>
  <Override PartName="/word/charts/style6.xml" ContentType="application/vnd.ms-office.chartstyle+xml"/>
  <Override PartName="/word/charts/colors8.xml" ContentType="application/vnd.ms-office.chartcolorstyle+xml"/>
  <Override PartName="/word/charts/colors5.xml" ContentType="application/vnd.ms-office.chartcolorstyle+xml"/>
  <Override PartName="/word/charts/style2.xml" ContentType="application/vnd.ms-office.chartstyle+xml"/>
  <Override PartName="/word/charts/chart2.xml" ContentType="application/vnd.openxmlformats-officedocument.drawingml.chart+xml"/>
  <Override PartName="/word/theme/themeOverride1.xml" ContentType="application/vnd.openxmlformats-officedocument.themeOverrid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chart6.xml" ContentType="application/vnd.openxmlformats-officedocument.drawingml.chart+xml"/>
  <Override PartName="/word/charts/colors2.xml" ContentType="application/vnd.ms-office.chartcolorstyle+xml"/>
  <Override PartName="/word/charts/chart3.xml" ContentType="application/vnd.openxmlformats-officedocument.drawingml.chart+xml"/>
  <Override PartName="/word/charts/style5.xml" ContentType="application/vnd.ms-office.chartstyle+xml"/>
  <Override PartName="/word/charts/chart5.xml" ContentType="application/vnd.openxmlformats-officedocument.drawingml.chart+xml"/>
  <Override PartName="/word/theme/themeOverride2.xml" ContentType="application/vnd.openxmlformats-officedocument.themeOverride+xml"/>
  <Override PartName="/word/charts/colors4.xml" ContentType="application/vnd.ms-office.chartcolorstyle+xml"/>
  <Override PartName="/word/charts/chart4.xml" ContentType="application/vnd.openxmlformats-officedocument.drawingml.chart+xml"/>
  <Override PartName="/word/charts/style4.xml" ContentType="application/vnd.ms-office.chartstyle+xml"/>
  <Override PartName="/word/charts/style3.xml" ContentType="application/vnd.ms-office.chartstyle+xml"/>
  <Override PartName="/word/charts/colors3.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AC08" w14:textId="77FB57B2" w:rsidR="00EB0CC0" w:rsidRPr="00DF7D9C" w:rsidRDefault="00EB0CC0" w:rsidP="00EB0CC0">
      <w:pPr>
        <w:jc w:val="center"/>
        <w:rPr>
          <w:rFonts w:ascii="Gadugi" w:hAnsi="Gadugi"/>
          <w:b/>
          <w:sz w:val="32"/>
          <w:lang w:val="hr-HR"/>
        </w:rPr>
      </w:pPr>
    </w:p>
    <w:p w14:paraId="1A697E31" w14:textId="2B372AB9" w:rsidR="00EB0CC0" w:rsidRDefault="00EB0CC0" w:rsidP="00EB0CC0">
      <w:pPr>
        <w:jc w:val="center"/>
        <w:rPr>
          <w:rFonts w:cstheme="minorHAnsi"/>
          <w:b/>
          <w:sz w:val="32"/>
          <w:lang w:val="hr-HR"/>
        </w:rPr>
      </w:pPr>
    </w:p>
    <w:p w14:paraId="7E6EBFEA" w14:textId="79C5637F" w:rsidR="00B831DF" w:rsidRDefault="00B831DF" w:rsidP="00EB0CC0">
      <w:pPr>
        <w:jc w:val="center"/>
        <w:rPr>
          <w:rFonts w:cstheme="minorHAnsi"/>
          <w:b/>
          <w:sz w:val="32"/>
          <w:lang w:val="hr-HR"/>
        </w:rPr>
      </w:pPr>
    </w:p>
    <w:p w14:paraId="24870A21" w14:textId="77777777" w:rsidR="00B831DF" w:rsidRPr="00171757" w:rsidRDefault="00B831DF" w:rsidP="00EB0CC0">
      <w:pPr>
        <w:jc w:val="center"/>
        <w:rPr>
          <w:rFonts w:cstheme="minorHAnsi"/>
          <w:b/>
          <w:sz w:val="32"/>
          <w:lang w:val="hr-HR"/>
        </w:rPr>
      </w:pPr>
    </w:p>
    <w:p w14:paraId="5C1AE8E1" w14:textId="77777777" w:rsidR="00F80AAA" w:rsidRPr="00171757" w:rsidRDefault="00F80AAA" w:rsidP="00AC31FC">
      <w:pPr>
        <w:rPr>
          <w:rFonts w:cstheme="minorHAnsi"/>
          <w:b/>
          <w:sz w:val="32"/>
          <w:lang w:val="hr-HR"/>
        </w:rPr>
      </w:pPr>
    </w:p>
    <w:p w14:paraId="0F64D9BB" w14:textId="77777777" w:rsidR="005E6F91" w:rsidRPr="00171757" w:rsidRDefault="005E6F91" w:rsidP="00EB0CC0">
      <w:pPr>
        <w:jc w:val="center"/>
        <w:rPr>
          <w:rFonts w:cstheme="minorHAnsi"/>
          <w:b/>
          <w:sz w:val="32"/>
          <w:lang w:val="hr-HR"/>
        </w:rPr>
      </w:pPr>
    </w:p>
    <w:p w14:paraId="2B01942E" w14:textId="77777777" w:rsidR="006D6F00" w:rsidRPr="004111F1" w:rsidRDefault="00EB0CC0" w:rsidP="00580FBE">
      <w:pPr>
        <w:ind w:right="4"/>
        <w:jc w:val="center"/>
        <w:rPr>
          <w:rFonts w:cstheme="minorHAnsi"/>
          <w:caps/>
          <w:color w:val="1F4E79" w:themeColor="accent1" w:themeShade="80"/>
          <w:sz w:val="36"/>
          <w:lang w:val="hr-HR"/>
        </w:rPr>
      </w:pPr>
      <w:r w:rsidRPr="004111F1">
        <w:rPr>
          <w:rFonts w:cstheme="minorHAnsi"/>
          <w:caps/>
          <w:color w:val="1F4E79" w:themeColor="accent1" w:themeShade="80"/>
          <w:sz w:val="36"/>
          <w:lang w:val="hr-HR"/>
        </w:rPr>
        <w:t>Izvješće o provedbi</w:t>
      </w:r>
      <w:r w:rsidR="00AC31FC" w:rsidRPr="004111F1">
        <w:rPr>
          <w:rFonts w:cstheme="minorHAnsi"/>
          <w:caps/>
          <w:color w:val="1F4E79" w:themeColor="accent1" w:themeShade="80"/>
          <w:sz w:val="36"/>
          <w:lang w:val="hr-HR"/>
        </w:rPr>
        <w:t xml:space="preserve"> mjera i aktivnosti iz</w:t>
      </w:r>
      <w:r w:rsidRPr="004111F1">
        <w:rPr>
          <w:rFonts w:cstheme="minorHAnsi"/>
          <w:caps/>
          <w:color w:val="1F4E79" w:themeColor="accent1" w:themeShade="80"/>
          <w:sz w:val="36"/>
          <w:lang w:val="hr-HR"/>
        </w:rPr>
        <w:t xml:space="preserve"> </w:t>
      </w:r>
    </w:p>
    <w:p w14:paraId="769E79DB" w14:textId="77777777" w:rsidR="006D6F00" w:rsidRPr="004111F1" w:rsidRDefault="00EB0CC0" w:rsidP="00580FBE">
      <w:pPr>
        <w:ind w:right="4"/>
        <w:jc w:val="center"/>
        <w:rPr>
          <w:rFonts w:cstheme="minorHAnsi"/>
          <w:caps/>
          <w:color w:val="1F4E79" w:themeColor="accent1" w:themeShade="80"/>
          <w:sz w:val="36"/>
          <w:lang w:val="hr-HR"/>
        </w:rPr>
      </w:pPr>
      <w:r w:rsidRPr="004111F1">
        <w:rPr>
          <w:rFonts w:cstheme="minorHAnsi"/>
          <w:caps/>
          <w:color w:val="1F4E79" w:themeColor="accent1" w:themeShade="80"/>
          <w:sz w:val="36"/>
          <w:lang w:val="hr-HR"/>
        </w:rPr>
        <w:t>Strategije Nacionalne infrastrukture prostornih podataka</w:t>
      </w:r>
      <w:r w:rsidR="00A25B2E" w:rsidRPr="004111F1">
        <w:rPr>
          <w:rFonts w:cstheme="minorHAnsi"/>
          <w:caps/>
          <w:color w:val="1F4E79" w:themeColor="accent1" w:themeShade="80"/>
          <w:sz w:val="36"/>
          <w:lang w:val="hr-HR"/>
        </w:rPr>
        <w:t xml:space="preserve"> 2020</w:t>
      </w:r>
      <w:r w:rsidR="00AC31FC" w:rsidRPr="004111F1">
        <w:rPr>
          <w:rFonts w:cstheme="minorHAnsi"/>
          <w:caps/>
          <w:color w:val="1F4E79" w:themeColor="accent1" w:themeShade="80"/>
          <w:sz w:val="36"/>
          <w:lang w:val="hr-HR"/>
        </w:rPr>
        <w:t xml:space="preserve">. </w:t>
      </w:r>
    </w:p>
    <w:p w14:paraId="38B5BBE6" w14:textId="77777777" w:rsidR="006D6F00" w:rsidRPr="004111F1" w:rsidRDefault="00AC31FC" w:rsidP="006D6F00">
      <w:pPr>
        <w:ind w:left="284" w:right="146"/>
        <w:jc w:val="center"/>
        <w:rPr>
          <w:rFonts w:cstheme="minorHAnsi"/>
          <w:caps/>
          <w:color w:val="1F4E79" w:themeColor="accent1" w:themeShade="80"/>
          <w:sz w:val="36"/>
          <w:lang w:val="hr-HR"/>
        </w:rPr>
      </w:pPr>
      <w:r w:rsidRPr="004111F1">
        <w:rPr>
          <w:rFonts w:cstheme="minorHAnsi"/>
          <w:caps/>
          <w:color w:val="1F4E79" w:themeColor="accent1" w:themeShade="80"/>
          <w:sz w:val="36"/>
          <w:lang w:val="hr-HR"/>
        </w:rPr>
        <w:t xml:space="preserve">i </w:t>
      </w:r>
    </w:p>
    <w:p w14:paraId="2EF62B6A" w14:textId="77777777" w:rsidR="00EB0CC0" w:rsidRPr="004111F1" w:rsidRDefault="00AC31FC" w:rsidP="00580FBE">
      <w:pPr>
        <w:ind w:right="4"/>
        <w:jc w:val="center"/>
        <w:rPr>
          <w:rFonts w:cstheme="minorHAnsi"/>
          <w:caps/>
          <w:color w:val="1F4E79" w:themeColor="accent1" w:themeShade="80"/>
          <w:sz w:val="36"/>
          <w:lang w:val="hr-HR"/>
        </w:rPr>
      </w:pPr>
      <w:r w:rsidRPr="004111F1">
        <w:rPr>
          <w:rFonts w:cstheme="minorHAnsi"/>
          <w:caps/>
          <w:color w:val="1F4E79" w:themeColor="accent1" w:themeShade="80"/>
          <w:sz w:val="36"/>
          <w:lang w:val="hr-HR"/>
        </w:rPr>
        <w:t>Strateškog plana Nacionalne infrastrukture prostornih podataka za razdoblje 2017.</w:t>
      </w:r>
      <w:r w:rsidR="007C2E5B" w:rsidRPr="004111F1">
        <w:rPr>
          <w:rFonts w:cstheme="minorHAnsi"/>
          <w:caps/>
          <w:color w:val="1F4E79" w:themeColor="accent1" w:themeShade="80"/>
          <w:sz w:val="36"/>
          <w:lang w:val="hr-HR"/>
        </w:rPr>
        <w:t xml:space="preserve"> </w:t>
      </w:r>
      <w:r w:rsidRPr="004111F1">
        <w:rPr>
          <w:rFonts w:cstheme="minorHAnsi"/>
          <w:caps/>
          <w:color w:val="1F4E79" w:themeColor="accent1" w:themeShade="80"/>
          <w:sz w:val="36"/>
          <w:lang w:val="hr-HR"/>
        </w:rPr>
        <w:t>-</w:t>
      </w:r>
      <w:r w:rsidR="007C2E5B" w:rsidRPr="004111F1">
        <w:rPr>
          <w:rFonts w:cstheme="minorHAnsi"/>
          <w:caps/>
          <w:color w:val="1F4E79" w:themeColor="accent1" w:themeShade="80"/>
          <w:sz w:val="36"/>
          <w:lang w:val="hr-HR"/>
        </w:rPr>
        <w:t xml:space="preserve"> </w:t>
      </w:r>
      <w:r w:rsidRPr="004111F1">
        <w:rPr>
          <w:rFonts w:cstheme="minorHAnsi"/>
          <w:caps/>
          <w:color w:val="1F4E79" w:themeColor="accent1" w:themeShade="80"/>
          <w:sz w:val="36"/>
          <w:lang w:val="hr-HR"/>
        </w:rPr>
        <w:t>2020.</w:t>
      </w:r>
    </w:p>
    <w:p w14:paraId="34EC5893" w14:textId="77777777" w:rsidR="00EB0CC0" w:rsidRDefault="00EB0CC0">
      <w:pPr>
        <w:rPr>
          <w:noProof/>
          <w:lang w:val="hr-HR" w:eastAsia="hr-HR"/>
        </w:rPr>
      </w:pPr>
    </w:p>
    <w:p w14:paraId="6A0EDBC9" w14:textId="77777777" w:rsidR="005E6F91" w:rsidRDefault="005E6F91">
      <w:pPr>
        <w:rPr>
          <w:noProof/>
          <w:lang w:val="hr-HR" w:eastAsia="hr-HR"/>
        </w:rPr>
      </w:pPr>
    </w:p>
    <w:p w14:paraId="772A3483" w14:textId="77777777" w:rsidR="00FE5DF2" w:rsidRDefault="00FE5DF2" w:rsidP="0098219C">
      <w:pPr>
        <w:jc w:val="center"/>
        <w:rPr>
          <w:lang w:val="hr-HR"/>
        </w:rPr>
      </w:pPr>
    </w:p>
    <w:p w14:paraId="7E4CA360" w14:textId="77777777" w:rsidR="00FE5DF2" w:rsidRDefault="00FE5DF2" w:rsidP="0098219C">
      <w:pPr>
        <w:jc w:val="center"/>
        <w:rPr>
          <w:lang w:val="hr-HR"/>
        </w:rPr>
      </w:pPr>
    </w:p>
    <w:p w14:paraId="113C44D5" w14:textId="77777777" w:rsidR="00FE5DF2" w:rsidRDefault="00FE5DF2" w:rsidP="0098219C">
      <w:pPr>
        <w:jc w:val="center"/>
        <w:rPr>
          <w:lang w:val="hr-HR"/>
        </w:rPr>
      </w:pPr>
    </w:p>
    <w:p w14:paraId="020EDDA9" w14:textId="77777777" w:rsidR="00FE5DF2" w:rsidRDefault="00FE5DF2" w:rsidP="0098219C">
      <w:pPr>
        <w:jc w:val="center"/>
        <w:rPr>
          <w:lang w:val="hr-HR"/>
        </w:rPr>
      </w:pPr>
    </w:p>
    <w:p w14:paraId="5D3B9122" w14:textId="77777777" w:rsidR="00FE5DF2" w:rsidRDefault="00FE5DF2" w:rsidP="0098219C">
      <w:pPr>
        <w:jc w:val="center"/>
        <w:rPr>
          <w:lang w:val="hr-HR"/>
        </w:rPr>
      </w:pPr>
    </w:p>
    <w:p w14:paraId="5CFCA82A" w14:textId="77777777" w:rsidR="00FE5DF2" w:rsidRDefault="00FE5DF2" w:rsidP="0098219C">
      <w:pPr>
        <w:jc w:val="center"/>
        <w:rPr>
          <w:lang w:val="hr-HR"/>
        </w:rPr>
      </w:pPr>
    </w:p>
    <w:p w14:paraId="4BDE2E1A" w14:textId="77777777" w:rsidR="00FE5DF2" w:rsidRDefault="00FE5DF2" w:rsidP="0098219C">
      <w:pPr>
        <w:jc w:val="center"/>
        <w:rPr>
          <w:lang w:val="hr-HR"/>
        </w:rPr>
      </w:pPr>
    </w:p>
    <w:p w14:paraId="50FC20B3" w14:textId="77777777" w:rsidR="00FE5DF2" w:rsidRDefault="00FE5DF2" w:rsidP="0098219C">
      <w:pPr>
        <w:jc w:val="center"/>
        <w:rPr>
          <w:lang w:val="hr-HR"/>
        </w:rPr>
      </w:pPr>
    </w:p>
    <w:p w14:paraId="48286475" w14:textId="4C389813" w:rsidR="00FC6D69" w:rsidRDefault="00FC6D69" w:rsidP="00FE5DF2">
      <w:pPr>
        <w:jc w:val="center"/>
        <w:rPr>
          <w:rFonts w:asciiTheme="majorHAnsi" w:hAnsiTheme="majorHAnsi" w:cstheme="majorHAnsi"/>
          <w:sz w:val="16"/>
          <w:lang w:val="hr-HR"/>
        </w:rPr>
      </w:pPr>
    </w:p>
    <w:p w14:paraId="027BF4D7" w14:textId="36344D18" w:rsidR="00393003" w:rsidRDefault="00393003">
      <w:pPr>
        <w:rPr>
          <w:lang w:val="hr-HR"/>
        </w:rPr>
      </w:pPr>
      <w:r>
        <w:rPr>
          <w:lang w:val="hr-HR"/>
        </w:rPr>
        <w:br w:type="page"/>
      </w:r>
    </w:p>
    <w:p w14:paraId="0F7E571B" w14:textId="77777777" w:rsidR="00EB0CC0" w:rsidRDefault="00EB0CC0" w:rsidP="00EB0CC0">
      <w:pPr>
        <w:jc w:val="center"/>
        <w:rPr>
          <w:lang w:val="hr-HR"/>
        </w:rPr>
      </w:pPr>
    </w:p>
    <w:sdt>
      <w:sdtPr>
        <w:rPr>
          <w:sz w:val="24"/>
        </w:rPr>
        <w:id w:val="569308246"/>
        <w:docPartObj>
          <w:docPartGallery w:val="Table of Contents"/>
          <w:docPartUnique/>
        </w:docPartObj>
      </w:sdtPr>
      <w:sdtEndPr>
        <w:rPr>
          <w:b/>
          <w:bCs/>
          <w:noProof/>
          <w:sz w:val="22"/>
        </w:rPr>
      </w:sdtEndPr>
      <w:sdtContent>
        <w:p w14:paraId="686C90B4" w14:textId="77777777" w:rsidR="00961945" w:rsidRPr="00DF7D9C" w:rsidRDefault="00961945" w:rsidP="00A37766">
          <w:pPr>
            <w:rPr>
              <w:sz w:val="24"/>
            </w:rPr>
          </w:pPr>
          <w:proofErr w:type="spellStart"/>
          <w:r w:rsidRPr="00DF7D9C">
            <w:rPr>
              <w:sz w:val="24"/>
            </w:rPr>
            <w:t>Sadržaj</w:t>
          </w:r>
          <w:proofErr w:type="spellEnd"/>
        </w:p>
        <w:p w14:paraId="16FB9CCE" w14:textId="782190FC" w:rsidR="005D3BBB" w:rsidRDefault="00961945">
          <w:pPr>
            <w:pStyle w:val="TOC1"/>
            <w:tabs>
              <w:tab w:val="left" w:pos="440"/>
              <w:tab w:val="right" w:leader="dot" w:pos="9350"/>
            </w:tabs>
            <w:rPr>
              <w:rFonts w:eastAsiaTheme="minorEastAsia"/>
              <w:noProof/>
              <w:lang w:val="hr-HR" w:eastAsia="hr-HR"/>
            </w:rPr>
          </w:pPr>
          <w:r w:rsidRPr="00DF7D9C">
            <w:fldChar w:fldCharType="begin"/>
          </w:r>
          <w:r w:rsidRPr="00DF7D9C">
            <w:instrText xml:space="preserve"> TOC \o "1-3" \h \z \u </w:instrText>
          </w:r>
          <w:r w:rsidRPr="00DF7D9C">
            <w:fldChar w:fldCharType="separate"/>
          </w:r>
          <w:hyperlink w:anchor="_Toc89761116" w:history="1">
            <w:r w:rsidR="005D3BBB" w:rsidRPr="00126CC6">
              <w:rPr>
                <w:rStyle w:val="Hyperlink"/>
                <w:noProof/>
              </w:rPr>
              <w:t>1.</w:t>
            </w:r>
            <w:r w:rsidR="005D3BBB">
              <w:rPr>
                <w:rFonts w:eastAsiaTheme="minorEastAsia"/>
                <w:noProof/>
                <w:lang w:val="hr-HR" w:eastAsia="hr-HR"/>
              </w:rPr>
              <w:tab/>
            </w:r>
            <w:r w:rsidR="005D3BBB" w:rsidRPr="00126CC6">
              <w:rPr>
                <w:rStyle w:val="Hyperlink"/>
                <w:noProof/>
              </w:rPr>
              <w:t>Uvod</w:t>
            </w:r>
            <w:r w:rsidR="005D3BBB">
              <w:rPr>
                <w:noProof/>
                <w:webHidden/>
              </w:rPr>
              <w:tab/>
            </w:r>
            <w:r w:rsidR="005D3BBB">
              <w:rPr>
                <w:noProof/>
                <w:webHidden/>
              </w:rPr>
              <w:fldChar w:fldCharType="begin"/>
            </w:r>
            <w:r w:rsidR="005D3BBB">
              <w:rPr>
                <w:noProof/>
                <w:webHidden/>
              </w:rPr>
              <w:instrText xml:space="preserve"> PAGEREF _Toc89761116 \h </w:instrText>
            </w:r>
            <w:r w:rsidR="005D3BBB">
              <w:rPr>
                <w:noProof/>
                <w:webHidden/>
              </w:rPr>
            </w:r>
            <w:r w:rsidR="005D3BBB">
              <w:rPr>
                <w:noProof/>
                <w:webHidden/>
              </w:rPr>
              <w:fldChar w:fldCharType="separate"/>
            </w:r>
            <w:r w:rsidR="00DA7E91">
              <w:rPr>
                <w:noProof/>
                <w:webHidden/>
              </w:rPr>
              <w:t>3</w:t>
            </w:r>
            <w:r w:rsidR="005D3BBB">
              <w:rPr>
                <w:noProof/>
                <w:webHidden/>
              </w:rPr>
              <w:fldChar w:fldCharType="end"/>
            </w:r>
          </w:hyperlink>
        </w:p>
        <w:p w14:paraId="4DBB4FC5" w14:textId="0FBAB88D" w:rsidR="005D3BBB" w:rsidRDefault="00C31620">
          <w:pPr>
            <w:pStyle w:val="TOC1"/>
            <w:tabs>
              <w:tab w:val="left" w:pos="440"/>
              <w:tab w:val="right" w:leader="dot" w:pos="9350"/>
            </w:tabs>
            <w:rPr>
              <w:rFonts w:eastAsiaTheme="minorEastAsia"/>
              <w:noProof/>
              <w:lang w:val="hr-HR" w:eastAsia="hr-HR"/>
            </w:rPr>
          </w:pPr>
          <w:hyperlink w:anchor="_Toc89761117" w:history="1">
            <w:r w:rsidR="005D3BBB" w:rsidRPr="00126CC6">
              <w:rPr>
                <w:rStyle w:val="Hyperlink"/>
                <w:noProof/>
              </w:rPr>
              <w:t>2.</w:t>
            </w:r>
            <w:r w:rsidR="005D3BBB">
              <w:rPr>
                <w:rFonts w:eastAsiaTheme="minorEastAsia"/>
                <w:noProof/>
                <w:lang w:val="hr-HR" w:eastAsia="hr-HR"/>
              </w:rPr>
              <w:tab/>
            </w:r>
            <w:r w:rsidR="005D3BBB" w:rsidRPr="00126CC6">
              <w:rPr>
                <w:rStyle w:val="Hyperlink"/>
                <w:noProof/>
              </w:rPr>
              <w:t>Strateški ciljevi i aktivnosti</w:t>
            </w:r>
            <w:r w:rsidR="005D3BBB">
              <w:rPr>
                <w:noProof/>
                <w:webHidden/>
              </w:rPr>
              <w:tab/>
            </w:r>
            <w:r w:rsidR="005D3BBB">
              <w:rPr>
                <w:noProof/>
                <w:webHidden/>
              </w:rPr>
              <w:fldChar w:fldCharType="begin"/>
            </w:r>
            <w:r w:rsidR="005D3BBB">
              <w:rPr>
                <w:noProof/>
                <w:webHidden/>
              </w:rPr>
              <w:instrText xml:space="preserve"> PAGEREF _Toc89761117 \h </w:instrText>
            </w:r>
            <w:r w:rsidR="005D3BBB">
              <w:rPr>
                <w:noProof/>
                <w:webHidden/>
              </w:rPr>
            </w:r>
            <w:r w:rsidR="005D3BBB">
              <w:rPr>
                <w:noProof/>
                <w:webHidden/>
              </w:rPr>
              <w:fldChar w:fldCharType="separate"/>
            </w:r>
            <w:r w:rsidR="00DA7E91">
              <w:rPr>
                <w:noProof/>
                <w:webHidden/>
              </w:rPr>
              <w:t>5</w:t>
            </w:r>
            <w:r w:rsidR="005D3BBB">
              <w:rPr>
                <w:noProof/>
                <w:webHidden/>
              </w:rPr>
              <w:fldChar w:fldCharType="end"/>
            </w:r>
          </w:hyperlink>
        </w:p>
        <w:p w14:paraId="25F0169A" w14:textId="78AC7191" w:rsidR="005D3BBB" w:rsidRDefault="00C31620">
          <w:pPr>
            <w:pStyle w:val="TOC2"/>
            <w:tabs>
              <w:tab w:val="left" w:pos="880"/>
              <w:tab w:val="right" w:leader="dot" w:pos="9350"/>
            </w:tabs>
            <w:rPr>
              <w:rFonts w:eastAsiaTheme="minorEastAsia"/>
              <w:noProof/>
              <w:lang w:val="hr-HR" w:eastAsia="hr-HR"/>
            </w:rPr>
          </w:pPr>
          <w:hyperlink w:anchor="_Toc89761120" w:history="1">
            <w:r w:rsidR="005D3BBB" w:rsidRPr="00126CC6">
              <w:rPr>
                <w:rStyle w:val="Hyperlink"/>
                <w:noProof/>
              </w:rPr>
              <w:t>2.1.</w:t>
            </w:r>
            <w:r w:rsidR="005D3BBB">
              <w:rPr>
                <w:rFonts w:eastAsiaTheme="minorEastAsia"/>
                <w:noProof/>
                <w:lang w:val="hr-HR" w:eastAsia="hr-HR"/>
              </w:rPr>
              <w:tab/>
            </w:r>
            <w:r w:rsidR="005D3BBB" w:rsidRPr="00126CC6">
              <w:rPr>
                <w:rStyle w:val="Hyperlink"/>
                <w:noProof/>
              </w:rPr>
              <w:t>Strateški cilj br. 1: Zna se za NIPP i koristi koje on donosi</w:t>
            </w:r>
            <w:r w:rsidR="005D3BBB">
              <w:rPr>
                <w:noProof/>
                <w:webHidden/>
              </w:rPr>
              <w:tab/>
            </w:r>
            <w:r w:rsidR="005D3BBB">
              <w:rPr>
                <w:noProof/>
                <w:webHidden/>
              </w:rPr>
              <w:fldChar w:fldCharType="begin"/>
            </w:r>
            <w:r w:rsidR="005D3BBB">
              <w:rPr>
                <w:noProof/>
                <w:webHidden/>
              </w:rPr>
              <w:instrText xml:space="preserve"> PAGEREF _Toc89761120 \h </w:instrText>
            </w:r>
            <w:r w:rsidR="005D3BBB">
              <w:rPr>
                <w:noProof/>
                <w:webHidden/>
              </w:rPr>
            </w:r>
            <w:r w:rsidR="005D3BBB">
              <w:rPr>
                <w:noProof/>
                <w:webHidden/>
              </w:rPr>
              <w:fldChar w:fldCharType="separate"/>
            </w:r>
            <w:r w:rsidR="00DA7E91">
              <w:rPr>
                <w:noProof/>
                <w:webHidden/>
              </w:rPr>
              <w:t>6</w:t>
            </w:r>
            <w:r w:rsidR="005D3BBB">
              <w:rPr>
                <w:noProof/>
                <w:webHidden/>
              </w:rPr>
              <w:fldChar w:fldCharType="end"/>
            </w:r>
          </w:hyperlink>
        </w:p>
        <w:p w14:paraId="069FEA37" w14:textId="78E41AF7" w:rsidR="005D3BBB" w:rsidRDefault="00C31620">
          <w:pPr>
            <w:pStyle w:val="TOC2"/>
            <w:tabs>
              <w:tab w:val="left" w:pos="880"/>
              <w:tab w:val="right" w:leader="dot" w:pos="9350"/>
            </w:tabs>
            <w:rPr>
              <w:rFonts w:eastAsiaTheme="minorEastAsia"/>
              <w:noProof/>
              <w:lang w:val="hr-HR" w:eastAsia="hr-HR"/>
            </w:rPr>
          </w:pPr>
          <w:hyperlink w:anchor="_Toc89761121" w:history="1">
            <w:r w:rsidR="005D3BBB" w:rsidRPr="00126CC6">
              <w:rPr>
                <w:rStyle w:val="Hyperlink"/>
                <w:noProof/>
              </w:rPr>
              <w:t>2.2.</w:t>
            </w:r>
            <w:r w:rsidR="005D3BBB">
              <w:rPr>
                <w:rFonts w:eastAsiaTheme="minorEastAsia"/>
                <w:noProof/>
                <w:lang w:val="hr-HR" w:eastAsia="hr-HR"/>
              </w:rPr>
              <w:tab/>
            </w:r>
            <w:r w:rsidR="005D3BBB" w:rsidRPr="00126CC6">
              <w:rPr>
                <w:rStyle w:val="Hyperlink"/>
                <w:noProof/>
              </w:rPr>
              <w:t>Strateški cilj br. 2: Prostorni podaci i usluge su dostupni i zadovoljavaju potrebe korisnika</w:t>
            </w:r>
            <w:r w:rsidR="005D3BBB">
              <w:rPr>
                <w:noProof/>
                <w:webHidden/>
              </w:rPr>
              <w:tab/>
            </w:r>
            <w:r w:rsidR="005D3BBB">
              <w:rPr>
                <w:noProof/>
                <w:webHidden/>
              </w:rPr>
              <w:fldChar w:fldCharType="begin"/>
            </w:r>
            <w:r w:rsidR="005D3BBB">
              <w:rPr>
                <w:noProof/>
                <w:webHidden/>
              </w:rPr>
              <w:instrText xml:space="preserve"> PAGEREF _Toc89761121 \h </w:instrText>
            </w:r>
            <w:r w:rsidR="005D3BBB">
              <w:rPr>
                <w:noProof/>
                <w:webHidden/>
              </w:rPr>
            </w:r>
            <w:r w:rsidR="005D3BBB">
              <w:rPr>
                <w:noProof/>
                <w:webHidden/>
              </w:rPr>
              <w:fldChar w:fldCharType="separate"/>
            </w:r>
            <w:r w:rsidR="00DA7E91">
              <w:rPr>
                <w:noProof/>
                <w:webHidden/>
              </w:rPr>
              <w:t>8</w:t>
            </w:r>
            <w:r w:rsidR="005D3BBB">
              <w:rPr>
                <w:noProof/>
                <w:webHidden/>
              </w:rPr>
              <w:fldChar w:fldCharType="end"/>
            </w:r>
          </w:hyperlink>
        </w:p>
        <w:p w14:paraId="3FE8F268" w14:textId="2290B2B5" w:rsidR="005D3BBB" w:rsidRDefault="00C31620">
          <w:pPr>
            <w:pStyle w:val="TOC2"/>
            <w:tabs>
              <w:tab w:val="left" w:pos="880"/>
              <w:tab w:val="right" w:leader="dot" w:pos="9350"/>
            </w:tabs>
            <w:rPr>
              <w:rFonts w:eastAsiaTheme="minorEastAsia"/>
              <w:noProof/>
              <w:lang w:val="hr-HR" w:eastAsia="hr-HR"/>
            </w:rPr>
          </w:pPr>
          <w:hyperlink w:anchor="_Toc89761122" w:history="1">
            <w:r w:rsidR="005D3BBB" w:rsidRPr="00126CC6">
              <w:rPr>
                <w:rStyle w:val="Hyperlink"/>
                <w:noProof/>
              </w:rPr>
              <w:t>2.3.</w:t>
            </w:r>
            <w:r w:rsidR="005D3BBB">
              <w:rPr>
                <w:rFonts w:eastAsiaTheme="minorEastAsia"/>
                <w:noProof/>
                <w:lang w:val="hr-HR" w:eastAsia="hr-HR"/>
              </w:rPr>
              <w:tab/>
            </w:r>
            <w:r w:rsidR="005D3BBB" w:rsidRPr="00126CC6">
              <w:rPr>
                <w:rStyle w:val="Hyperlink"/>
                <w:noProof/>
              </w:rPr>
              <w:t>Strateški cilj br. 3: Uvjeti i naknade za korištenje prostornih podataka lako su razumljivi</w:t>
            </w:r>
            <w:r w:rsidR="005D3BBB">
              <w:rPr>
                <w:noProof/>
                <w:webHidden/>
              </w:rPr>
              <w:tab/>
            </w:r>
            <w:r w:rsidR="005D3BBB">
              <w:rPr>
                <w:noProof/>
                <w:webHidden/>
              </w:rPr>
              <w:fldChar w:fldCharType="begin"/>
            </w:r>
            <w:r w:rsidR="005D3BBB">
              <w:rPr>
                <w:noProof/>
                <w:webHidden/>
              </w:rPr>
              <w:instrText xml:space="preserve"> PAGEREF _Toc89761122 \h </w:instrText>
            </w:r>
            <w:r w:rsidR="005D3BBB">
              <w:rPr>
                <w:noProof/>
                <w:webHidden/>
              </w:rPr>
            </w:r>
            <w:r w:rsidR="005D3BBB">
              <w:rPr>
                <w:noProof/>
                <w:webHidden/>
              </w:rPr>
              <w:fldChar w:fldCharType="separate"/>
            </w:r>
            <w:r w:rsidR="00DA7E91">
              <w:rPr>
                <w:noProof/>
                <w:webHidden/>
              </w:rPr>
              <w:t>13</w:t>
            </w:r>
            <w:r w:rsidR="005D3BBB">
              <w:rPr>
                <w:noProof/>
                <w:webHidden/>
              </w:rPr>
              <w:fldChar w:fldCharType="end"/>
            </w:r>
          </w:hyperlink>
        </w:p>
        <w:p w14:paraId="66A862FC" w14:textId="28801F9D" w:rsidR="005D3BBB" w:rsidRDefault="00C31620">
          <w:pPr>
            <w:pStyle w:val="TOC2"/>
            <w:tabs>
              <w:tab w:val="left" w:pos="880"/>
              <w:tab w:val="right" w:leader="dot" w:pos="9350"/>
            </w:tabs>
            <w:rPr>
              <w:rFonts w:eastAsiaTheme="minorEastAsia"/>
              <w:noProof/>
              <w:lang w:val="hr-HR" w:eastAsia="hr-HR"/>
            </w:rPr>
          </w:pPr>
          <w:hyperlink w:anchor="_Toc89761123" w:history="1">
            <w:r w:rsidR="005D3BBB" w:rsidRPr="00126CC6">
              <w:rPr>
                <w:rStyle w:val="Hyperlink"/>
                <w:noProof/>
              </w:rPr>
              <w:t>2.4.</w:t>
            </w:r>
            <w:r w:rsidR="005D3BBB">
              <w:rPr>
                <w:rFonts w:eastAsiaTheme="minorEastAsia"/>
                <w:noProof/>
                <w:lang w:val="hr-HR" w:eastAsia="hr-HR"/>
              </w:rPr>
              <w:tab/>
            </w:r>
            <w:r w:rsidR="005D3BBB" w:rsidRPr="00126CC6">
              <w:rPr>
                <w:rStyle w:val="Hyperlink"/>
                <w:noProof/>
              </w:rPr>
              <w:t>Strateški cilj br. 4: Korištenje NIPP-a uređeno je odgovarajućim pravilima i politikama</w:t>
            </w:r>
            <w:r w:rsidR="005D3BBB">
              <w:rPr>
                <w:noProof/>
                <w:webHidden/>
              </w:rPr>
              <w:tab/>
            </w:r>
            <w:r w:rsidR="005D3BBB">
              <w:rPr>
                <w:noProof/>
                <w:webHidden/>
              </w:rPr>
              <w:fldChar w:fldCharType="begin"/>
            </w:r>
            <w:r w:rsidR="005D3BBB">
              <w:rPr>
                <w:noProof/>
                <w:webHidden/>
              </w:rPr>
              <w:instrText xml:space="preserve"> PAGEREF _Toc89761123 \h </w:instrText>
            </w:r>
            <w:r w:rsidR="005D3BBB">
              <w:rPr>
                <w:noProof/>
                <w:webHidden/>
              </w:rPr>
            </w:r>
            <w:r w:rsidR="005D3BBB">
              <w:rPr>
                <w:noProof/>
                <w:webHidden/>
              </w:rPr>
              <w:fldChar w:fldCharType="separate"/>
            </w:r>
            <w:r w:rsidR="00DA7E91">
              <w:rPr>
                <w:noProof/>
                <w:webHidden/>
              </w:rPr>
              <w:t>15</w:t>
            </w:r>
            <w:r w:rsidR="005D3BBB">
              <w:rPr>
                <w:noProof/>
                <w:webHidden/>
              </w:rPr>
              <w:fldChar w:fldCharType="end"/>
            </w:r>
          </w:hyperlink>
        </w:p>
        <w:p w14:paraId="64EA4A44" w14:textId="5FFB92BF" w:rsidR="005D3BBB" w:rsidRDefault="00C31620">
          <w:pPr>
            <w:pStyle w:val="TOC2"/>
            <w:tabs>
              <w:tab w:val="left" w:pos="880"/>
              <w:tab w:val="right" w:leader="dot" w:pos="9350"/>
            </w:tabs>
            <w:rPr>
              <w:rFonts w:eastAsiaTheme="minorEastAsia"/>
              <w:noProof/>
              <w:lang w:val="hr-HR" w:eastAsia="hr-HR"/>
            </w:rPr>
          </w:pPr>
          <w:hyperlink w:anchor="_Toc89761124" w:history="1">
            <w:r w:rsidR="005D3BBB" w:rsidRPr="00126CC6">
              <w:rPr>
                <w:rStyle w:val="Hyperlink"/>
                <w:noProof/>
              </w:rPr>
              <w:t>2.5.</w:t>
            </w:r>
            <w:r w:rsidR="005D3BBB">
              <w:rPr>
                <w:rFonts w:eastAsiaTheme="minorEastAsia"/>
                <w:noProof/>
                <w:lang w:val="hr-HR" w:eastAsia="hr-HR"/>
              </w:rPr>
              <w:tab/>
            </w:r>
            <w:r w:rsidR="005D3BBB" w:rsidRPr="00126CC6">
              <w:rPr>
                <w:rStyle w:val="Hyperlink"/>
                <w:noProof/>
              </w:rPr>
              <w:t>Strateški cilj br. 5: Postoji dovoljno operativnih mogućnosti na raspolaganju za djelotvorno i učinkovito korištenje NIPP-a</w:t>
            </w:r>
            <w:r w:rsidR="005D3BBB">
              <w:rPr>
                <w:noProof/>
                <w:webHidden/>
              </w:rPr>
              <w:tab/>
            </w:r>
            <w:r w:rsidR="005D3BBB">
              <w:rPr>
                <w:noProof/>
                <w:webHidden/>
              </w:rPr>
              <w:fldChar w:fldCharType="begin"/>
            </w:r>
            <w:r w:rsidR="005D3BBB">
              <w:rPr>
                <w:noProof/>
                <w:webHidden/>
              </w:rPr>
              <w:instrText xml:space="preserve"> PAGEREF _Toc89761124 \h </w:instrText>
            </w:r>
            <w:r w:rsidR="005D3BBB">
              <w:rPr>
                <w:noProof/>
                <w:webHidden/>
              </w:rPr>
            </w:r>
            <w:r w:rsidR="005D3BBB">
              <w:rPr>
                <w:noProof/>
                <w:webHidden/>
              </w:rPr>
              <w:fldChar w:fldCharType="separate"/>
            </w:r>
            <w:r w:rsidR="00DA7E91">
              <w:rPr>
                <w:noProof/>
                <w:webHidden/>
              </w:rPr>
              <w:t>16</w:t>
            </w:r>
            <w:r w:rsidR="005D3BBB">
              <w:rPr>
                <w:noProof/>
                <w:webHidden/>
              </w:rPr>
              <w:fldChar w:fldCharType="end"/>
            </w:r>
          </w:hyperlink>
        </w:p>
        <w:p w14:paraId="0B30020D" w14:textId="29549840" w:rsidR="005D3BBB" w:rsidRDefault="00C31620">
          <w:pPr>
            <w:pStyle w:val="TOC2"/>
            <w:tabs>
              <w:tab w:val="left" w:pos="880"/>
              <w:tab w:val="right" w:leader="dot" w:pos="9350"/>
            </w:tabs>
            <w:rPr>
              <w:rFonts w:eastAsiaTheme="minorEastAsia"/>
              <w:noProof/>
              <w:lang w:val="hr-HR" w:eastAsia="hr-HR"/>
            </w:rPr>
          </w:pPr>
          <w:hyperlink w:anchor="_Toc89761125" w:history="1">
            <w:r w:rsidR="005D3BBB" w:rsidRPr="00126CC6">
              <w:rPr>
                <w:rStyle w:val="Hyperlink"/>
                <w:noProof/>
              </w:rPr>
              <w:t>2.6.</w:t>
            </w:r>
            <w:r w:rsidR="005D3BBB">
              <w:rPr>
                <w:rFonts w:eastAsiaTheme="minorEastAsia"/>
                <w:noProof/>
                <w:lang w:val="hr-HR" w:eastAsia="hr-HR"/>
              </w:rPr>
              <w:tab/>
            </w:r>
            <w:r w:rsidR="005D3BBB" w:rsidRPr="00126CC6">
              <w:rPr>
                <w:rStyle w:val="Hyperlink"/>
                <w:noProof/>
              </w:rPr>
              <w:t>Strateški cilj br. 6: NIPP podržava druge važne politike i programe na nacionalnoj i međunarodnoj razini</w:t>
            </w:r>
            <w:r w:rsidR="005D3BBB">
              <w:rPr>
                <w:noProof/>
                <w:webHidden/>
              </w:rPr>
              <w:tab/>
            </w:r>
            <w:r w:rsidR="005D3BBB">
              <w:rPr>
                <w:noProof/>
                <w:webHidden/>
              </w:rPr>
              <w:fldChar w:fldCharType="begin"/>
            </w:r>
            <w:r w:rsidR="005D3BBB">
              <w:rPr>
                <w:noProof/>
                <w:webHidden/>
              </w:rPr>
              <w:instrText xml:space="preserve"> PAGEREF _Toc89761125 \h </w:instrText>
            </w:r>
            <w:r w:rsidR="005D3BBB">
              <w:rPr>
                <w:noProof/>
                <w:webHidden/>
              </w:rPr>
            </w:r>
            <w:r w:rsidR="005D3BBB">
              <w:rPr>
                <w:noProof/>
                <w:webHidden/>
              </w:rPr>
              <w:fldChar w:fldCharType="separate"/>
            </w:r>
            <w:r w:rsidR="00DA7E91">
              <w:rPr>
                <w:noProof/>
                <w:webHidden/>
              </w:rPr>
              <w:t>20</w:t>
            </w:r>
            <w:r w:rsidR="005D3BBB">
              <w:rPr>
                <w:noProof/>
                <w:webHidden/>
              </w:rPr>
              <w:fldChar w:fldCharType="end"/>
            </w:r>
          </w:hyperlink>
        </w:p>
        <w:p w14:paraId="4BCB5D0D" w14:textId="11D54041" w:rsidR="005D3BBB" w:rsidRDefault="00C31620">
          <w:pPr>
            <w:pStyle w:val="TOC2"/>
            <w:tabs>
              <w:tab w:val="left" w:pos="880"/>
              <w:tab w:val="right" w:leader="dot" w:pos="9350"/>
            </w:tabs>
            <w:rPr>
              <w:rFonts w:eastAsiaTheme="minorEastAsia"/>
              <w:noProof/>
              <w:lang w:val="hr-HR" w:eastAsia="hr-HR"/>
            </w:rPr>
          </w:pPr>
          <w:hyperlink w:anchor="_Toc89761126" w:history="1">
            <w:r w:rsidR="005D3BBB" w:rsidRPr="00126CC6">
              <w:rPr>
                <w:rStyle w:val="Hyperlink"/>
                <w:noProof/>
              </w:rPr>
              <w:t>2.7.</w:t>
            </w:r>
            <w:r w:rsidR="005D3BBB">
              <w:rPr>
                <w:rFonts w:eastAsiaTheme="minorEastAsia"/>
                <w:noProof/>
                <w:lang w:val="hr-HR" w:eastAsia="hr-HR"/>
              </w:rPr>
              <w:tab/>
            </w:r>
            <w:r w:rsidR="005D3BBB" w:rsidRPr="00126CC6">
              <w:rPr>
                <w:rStyle w:val="Hyperlink"/>
                <w:noProof/>
              </w:rPr>
              <w:t>Strateški cilj br. 7: Dionici NIPP-a (subjekti NIPP-a i korisnici) surađuju kroz partnerstva i druge tipove sporazuma</w:t>
            </w:r>
            <w:r w:rsidR="005D3BBB">
              <w:rPr>
                <w:noProof/>
                <w:webHidden/>
              </w:rPr>
              <w:tab/>
            </w:r>
            <w:r w:rsidR="005D3BBB">
              <w:rPr>
                <w:noProof/>
                <w:webHidden/>
              </w:rPr>
              <w:fldChar w:fldCharType="begin"/>
            </w:r>
            <w:r w:rsidR="005D3BBB">
              <w:rPr>
                <w:noProof/>
                <w:webHidden/>
              </w:rPr>
              <w:instrText xml:space="preserve"> PAGEREF _Toc89761126 \h </w:instrText>
            </w:r>
            <w:r w:rsidR="005D3BBB">
              <w:rPr>
                <w:noProof/>
                <w:webHidden/>
              </w:rPr>
            </w:r>
            <w:r w:rsidR="005D3BBB">
              <w:rPr>
                <w:noProof/>
                <w:webHidden/>
              </w:rPr>
              <w:fldChar w:fldCharType="separate"/>
            </w:r>
            <w:r w:rsidR="00DA7E91">
              <w:rPr>
                <w:noProof/>
                <w:webHidden/>
              </w:rPr>
              <w:t>23</w:t>
            </w:r>
            <w:r w:rsidR="005D3BBB">
              <w:rPr>
                <w:noProof/>
                <w:webHidden/>
              </w:rPr>
              <w:fldChar w:fldCharType="end"/>
            </w:r>
          </w:hyperlink>
        </w:p>
        <w:p w14:paraId="53BD9BA1" w14:textId="76DABA77" w:rsidR="005D3BBB" w:rsidRDefault="00C31620">
          <w:pPr>
            <w:pStyle w:val="TOC1"/>
            <w:tabs>
              <w:tab w:val="left" w:pos="440"/>
              <w:tab w:val="right" w:leader="dot" w:pos="9350"/>
            </w:tabs>
            <w:rPr>
              <w:rFonts w:eastAsiaTheme="minorEastAsia"/>
              <w:noProof/>
              <w:lang w:val="hr-HR" w:eastAsia="hr-HR"/>
            </w:rPr>
          </w:pPr>
          <w:hyperlink w:anchor="_Toc89761127" w:history="1">
            <w:r w:rsidR="005D3BBB" w:rsidRPr="00126CC6">
              <w:rPr>
                <w:rStyle w:val="Hyperlink"/>
                <w:noProof/>
              </w:rPr>
              <w:t>3.</w:t>
            </w:r>
            <w:r w:rsidR="005D3BBB">
              <w:rPr>
                <w:rFonts w:eastAsiaTheme="minorEastAsia"/>
                <w:noProof/>
                <w:lang w:val="hr-HR" w:eastAsia="hr-HR"/>
              </w:rPr>
              <w:tab/>
            </w:r>
            <w:r w:rsidR="005D3BBB" w:rsidRPr="00126CC6">
              <w:rPr>
                <w:rStyle w:val="Hyperlink"/>
                <w:noProof/>
              </w:rPr>
              <w:t>Zaključak</w:t>
            </w:r>
            <w:r w:rsidR="005D3BBB">
              <w:rPr>
                <w:noProof/>
                <w:webHidden/>
              </w:rPr>
              <w:tab/>
            </w:r>
            <w:r w:rsidR="005D3BBB">
              <w:rPr>
                <w:noProof/>
                <w:webHidden/>
              </w:rPr>
              <w:fldChar w:fldCharType="begin"/>
            </w:r>
            <w:r w:rsidR="005D3BBB">
              <w:rPr>
                <w:noProof/>
                <w:webHidden/>
              </w:rPr>
              <w:instrText xml:space="preserve"> PAGEREF _Toc89761127 \h </w:instrText>
            </w:r>
            <w:r w:rsidR="005D3BBB">
              <w:rPr>
                <w:noProof/>
                <w:webHidden/>
              </w:rPr>
            </w:r>
            <w:r w:rsidR="005D3BBB">
              <w:rPr>
                <w:noProof/>
                <w:webHidden/>
              </w:rPr>
              <w:fldChar w:fldCharType="separate"/>
            </w:r>
            <w:r w:rsidR="00DA7E91">
              <w:rPr>
                <w:noProof/>
                <w:webHidden/>
              </w:rPr>
              <w:t>25</w:t>
            </w:r>
            <w:r w:rsidR="005D3BBB">
              <w:rPr>
                <w:noProof/>
                <w:webHidden/>
              </w:rPr>
              <w:fldChar w:fldCharType="end"/>
            </w:r>
          </w:hyperlink>
        </w:p>
        <w:p w14:paraId="2C085C83" w14:textId="1B02CA40" w:rsidR="005D3BBB" w:rsidRDefault="00C31620">
          <w:pPr>
            <w:pStyle w:val="TOC1"/>
            <w:tabs>
              <w:tab w:val="left" w:pos="440"/>
              <w:tab w:val="right" w:leader="dot" w:pos="9350"/>
            </w:tabs>
            <w:rPr>
              <w:rFonts w:eastAsiaTheme="minorEastAsia"/>
              <w:noProof/>
              <w:lang w:val="hr-HR" w:eastAsia="hr-HR"/>
            </w:rPr>
          </w:pPr>
          <w:hyperlink w:anchor="_Toc89761128" w:history="1">
            <w:r w:rsidR="005D3BBB" w:rsidRPr="00126CC6">
              <w:rPr>
                <w:rStyle w:val="Hyperlink"/>
                <w:noProof/>
              </w:rPr>
              <w:t>4.</w:t>
            </w:r>
            <w:r w:rsidR="005D3BBB">
              <w:rPr>
                <w:rFonts w:eastAsiaTheme="minorEastAsia"/>
                <w:noProof/>
                <w:lang w:val="hr-HR" w:eastAsia="hr-HR"/>
              </w:rPr>
              <w:tab/>
            </w:r>
            <w:r w:rsidR="005D3BBB" w:rsidRPr="00126CC6">
              <w:rPr>
                <w:rStyle w:val="Hyperlink"/>
                <w:noProof/>
              </w:rPr>
              <w:t>Popis subjekata</w:t>
            </w:r>
            <w:r w:rsidR="005D3BBB">
              <w:rPr>
                <w:noProof/>
                <w:webHidden/>
              </w:rPr>
              <w:tab/>
            </w:r>
            <w:r w:rsidR="005D3BBB">
              <w:rPr>
                <w:noProof/>
                <w:webHidden/>
              </w:rPr>
              <w:fldChar w:fldCharType="begin"/>
            </w:r>
            <w:r w:rsidR="005D3BBB">
              <w:rPr>
                <w:noProof/>
                <w:webHidden/>
              </w:rPr>
              <w:instrText xml:space="preserve"> PAGEREF _Toc89761128 \h </w:instrText>
            </w:r>
            <w:r w:rsidR="005D3BBB">
              <w:rPr>
                <w:noProof/>
                <w:webHidden/>
              </w:rPr>
            </w:r>
            <w:r w:rsidR="005D3BBB">
              <w:rPr>
                <w:noProof/>
                <w:webHidden/>
              </w:rPr>
              <w:fldChar w:fldCharType="separate"/>
            </w:r>
            <w:r w:rsidR="00DA7E91">
              <w:rPr>
                <w:noProof/>
                <w:webHidden/>
              </w:rPr>
              <w:t>30</w:t>
            </w:r>
            <w:r w:rsidR="005D3BBB">
              <w:rPr>
                <w:noProof/>
                <w:webHidden/>
              </w:rPr>
              <w:fldChar w:fldCharType="end"/>
            </w:r>
          </w:hyperlink>
        </w:p>
        <w:p w14:paraId="6DD7DD7B" w14:textId="500CD2B0" w:rsidR="00961945" w:rsidRPr="00DF7D9C" w:rsidRDefault="00961945">
          <w:r w:rsidRPr="00DF7D9C">
            <w:rPr>
              <w:b/>
              <w:bCs/>
              <w:noProof/>
            </w:rPr>
            <w:fldChar w:fldCharType="end"/>
          </w:r>
        </w:p>
      </w:sdtContent>
    </w:sdt>
    <w:p w14:paraId="0D58AF1F" w14:textId="77777777" w:rsidR="00300BD6" w:rsidRPr="00DF7D9C" w:rsidRDefault="00300BD6">
      <w:pPr>
        <w:rPr>
          <w:lang w:val="hr-HR"/>
        </w:rPr>
      </w:pPr>
      <w:r w:rsidRPr="00DF7D9C">
        <w:rPr>
          <w:lang w:val="hr-HR"/>
        </w:rPr>
        <w:br w:type="page"/>
      </w:r>
      <w:bookmarkStart w:id="0" w:name="_GoBack"/>
      <w:bookmarkEnd w:id="0"/>
    </w:p>
    <w:p w14:paraId="1E43006C" w14:textId="77777777" w:rsidR="0069017D" w:rsidRPr="00F80B02" w:rsidRDefault="00D20C38" w:rsidP="008C1448">
      <w:pPr>
        <w:pStyle w:val="Heading1"/>
        <w:numPr>
          <w:ilvl w:val="0"/>
          <w:numId w:val="14"/>
        </w:numPr>
        <w:ind w:left="426"/>
      </w:pPr>
      <w:bookmarkStart w:id="1" w:name="_Toc89761116"/>
      <w:r w:rsidRPr="00F80B02">
        <w:lastRenderedPageBreak/>
        <w:t>Uvod</w:t>
      </w:r>
      <w:bookmarkEnd w:id="1"/>
    </w:p>
    <w:p w14:paraId="0B73DFA4" w14:textId="77777777" w:rsidR="008620D8" w:rsidRDefault="008620D8">
      <w:pPr>
        <w:rPr>
          <w:lang w:val="hr-HR"/>
        </w:rPr>
      </w:pPr>
    </w:p>
    <w:p w14:paraId="77575717" w14:textId="77777777" w:rsidR="00AD0EA5" w:rsidRDefault="00111273" w:rsidP="00111273">
      <w:pPr>
        <w:jc w:val="both"/>
        <w:rPr>
          <w:sz w:val="24"/>
          <w:lang w:val="hr-HR"/>
        </w:rPr>
      </w:pPr>
      <w:r w:rsidRPr="005A7AB4">
        <w:rPr>
          <w:sz w:val="24"/>
          <w:lang w:val="hr-HR"/>
        </w:rPr>
        <w:t xml:space="preserve">U mnogim područjima ljudske djelatnosti </w:t>
      </w:r>
      <w:r w:rsidRPr="00AD0EA5">
        <w:rPr>
          <w:b/>
          <w:sz w:val="24"/>
          <w:lang w:val="hr-HR"/>
        </w:rPr>
        <w:t>prostorni podaci</w:t>
      </w:r>
      <w:r w:rsidRPr="005A7AB4">
        <w:rPr>
          <w:sz w:val="24"/>
          <w:lang w:val="hr-HR"/>
        </w:rPr>
        <w:t xml:space="preserve"> predstavljaju temelj na kojem se grade nove ili dodane vrijednosti. Problemi vezani uz raspoloživost, kvalitetu, organizaciju, dostupnost i dijeljenje prostornih podataka zajednički su u mnogim područjima, pa tako i u sustavu državne uprave. Rješavanje tih problema zahtijeva mjere koje se bave</w:t>
      </w:r>
      <w:r w:rsidR="006D2CD5">
        <w:rPr>
          <w:sz w:val="24"/>
          <w:lang w:val="hr-HR"/>
        </w:rPr>
        <w:t>:</w:t>
      </w:r>
    </w:p>
    <w:p w14:paraId="6CB4F641" w14:textId="77777777" w:rsidR="00AD0EA5" w:rsidRDefault="00111273" w:rsidP="00AD0EA5">
      <w:pPr>
        <w:pStyle w:val="ListParagraph"/>
        <w:numPr>
          <w:ilvl w:val="0"/>
          <w:numId w:val="17"/>
        </w:numPr>
        <w:jc w:val="both"/>
        <w:rPr>
          <w:sz w:val="24"/>
          <w:lang w:val="hr-HR"/>
        </w:rPr>
      </w:pPr>
      <w:r w:rsidRPr="00AD0EA5">
        <w:rPr>
          <w:sz w:val="24"/>
          <w:lang w:val="hr-HR"/>
        </w:rPr>
        <w:t xml:space="preserve">standardizacijom, </w:t>
      </w:r>
    </w:p>
    <w:p w14:paraId="755800D7" w14:textId="77777777" w:rsidR="00AD0EA5" w:rsidRDefault="00111273" w:rsidP="00AD0EA5">
      <w:pPr>
        <w:pStyle w:val="ListParagraph"/>
        <w:numPr>
          <w:ilvl w:val="0"/>
          <w:numId w:val="17"/>
        </w:numPr>
        <w:jc w:val="both"/>
        <w:rPr>
          <w:sz w:val="24"/>
          <w:lang w:val="hr-HR"/>
        </w:rPr>
      </w:pPr>
      <w:r w:rsidRPr="00AD0EA5">
        <w:rPr>
          <w:sz w:val="24"/>
          <w:lang w:val="hr-HR"/>
        </w:rPr>
        <w:t xml:space="preserve">dijeljenjem, </w:t>
      </w:r>
    </w:p>
    <w:p w14:paraId="4C25213B" w14:textId="77777777" w:rsidR="00AD0EA5" w:rsidRDefault="00111273" w:rsidP="00AD0EA5">
      <w:pPr>
        <w:pStyle w:val="ListParagraph"/>
        <w:numPr>
          <w:ilvl w:val="0"/>
          <w:numId w:val="17"/>
        </w:numPr>
        <w:jc w:val="both"/>
        <w:rPr>
          <w:sz w:val="24"/>
          <w:lang w:val="hr-HR"/>
        </w:rPr>
      </w:pPr>
      <w:r w:rsidRPr="00AD0EA5">
        <w:rPr>
          <w:sz w:val="24"/>
          <w:lang w:val="hr-HR"/>
        </w:rPr>
        <w:t xml:space="preserve">razmjenjivanjem i </w:t>
      </w:r>
    </w:p>
    <w:p w14:paraId="4778A847" w14:textId="77777777" w:rsidR="00AD0EA5" w:rsidRDefault="00111273" w:rsidP="00AD0EA5">
      <w:pPr>
        <w:pStyle w:val="ListParagraph"/>
        <w:numPr>
          <w:ilvl w:val="0"/>
          <w:numId w:val="17"/>
        </w:numPr>
        <w:jc w:val="both"/>
        <w:rPr>
          <w:sz w:val="24"/>
          <w:lang w:val="hr-HR"/>
        </w:rPr>
      </w:pPr>
      <w:r w:rsidRPr="00AD0EA5">
        <w:rPr>
          <w:sz w:val="24"/>
          <w:lang w:val="hr-HR"/>
        </w:rPr>
        <w:t xml:space="preserve">korištenjem prostornih podataka. </w:t>
      </w:r>
    </w:p>
    <w:p w14:paraId="7ADC8F72" w14:textId="77777777" w:rsidR="00AD0EA5" w:rsidRDefault="00111273" w:rsidP="00AD0EA5">
      <w:pPr>
        <w:jc w:val="both"/>
        <w:rPr>
          <w:sz w:val="24"/>
          <w:lang w:val="hr-HR"/>
        </w:rPr>
      </w:pPr>
      <w:r w:rsidRPr="00AD0EA5">
        <w:rPr>
          <w:sz w:val="24"/>
          <w:lang w:val="hr-HR"/>
        </w:rPr>
        <w:t xml:space="preserve">Isti ili slični prostorni podaci često se prikupljaju i održavaju na nekoliko različitih adresa u sustavu državne uprave, onemogućavajući njihovo transparentno korištenje, uz direktan, negativan, utjecaj na proračun. </w:t>
      </w:r>
    </w:p>
    <w:p w14:paraId="7A77F894" w14:textId="77777777" w:rsidR="00111273" w:rsidRPr="00AD0EA5" w:rsidRDefault="00111273" w:rsidP="00AD0EA5">
      <w:pPr>
        <w:jc w:val="both"/>
        <w:rPr>
          <w:sz w:val="24"/>
          <w:lang w:val="hr-HR"/>
        </w:rPr>
      </w:pPr>
      <w:r w:rsidRPr="00AD0EA5">
        <w:rPr>
          <w:sz w:val="24"/>
          <w:lang w:val="hr-HR"/>
        </w:rPr>
        <w:t xml:space="preserve">Na razini države takvi i slični problemi rješavaju se uspostavom nacionalnih infrastruktura prostornih podataka (u daljnjem tekstu NIPP). </w:t>
      </w:r>
    </w:p>
    <w:p w14:paraId="678842D2" w14:textId="3E7148DD" w:rsidR="00D2535C" w:rsidRPr="005A7AB4" w:rsidRDefault="00D2535C" w:rsidP="00D2535C">
      <w:pPr>
        <w:jc w:val="both"/>
        <w:rPr>
          <w:sz w:val="24"/>
          <w:lang w:val="hr-HR"/>
        </w:rPr>
      </w:pPr>
      <w:r w:rsidRPr="005A7AB4">
        <w:rPr>
          <w:sz w:val="24"/>
          <w:lang w:val="hr-HR"/>
        </w:rPr>
        <w:t>Vlada Republike Hrvatske je na svojoj 57. sjednici održanoj 22.9.2017. jednoglasno usvojila Odluku o donošenju Strategije Nacionalne infrastrukture prostornih podataka 2020. i Strateškog plana Nacionalne infrastrukture prostornih podataka za razdoblje 2017.</w:t>
      </w:r>
      <w:r w:rsidR="007C2E5B">
        <w:rPr>
          <w:sz w:val="24"/>
          <w:lang w:val="hr-HR"/>
        </w:rPr>
        <w:t xml:space="preserve"> </w:t>
      </w:r>
      <w:r w:rsidRPr="005A7AB4">
        <w:rPr>
          <w:sz w:val="24"/>
          <w:lang w:val="hr-HR"/>
        </w:rPr>
        <w:t>-</w:t>
      </w:r>
      <w:r w:rsidR="007C2E5B">
        <w:rPr>
          <w:sz w:val="24"/>
          <w:lang w:val="hr-HR"/>
        </w:rPr>
        <w:t xml:space="preserve"> </w:t>
      </w:r>
      <w:r w:rsidRPr="005A7AB4">
        <w:rPr>
          <w:sz w:val="24"/>
          <w:lang w:val="hr-HR"/>
        </w:rPr>
        <w:t xml:space="preserve">2020. objavljenu u Narodnim novinama </w:t>
      </w:r>
      <w:r w:rsidR="00B42DC0">
        <w:rPr>
          <w:sz w:val="24"/>
          <w:lang w:val="hr-HR"/>
        </w:rPr>
        <w:t xml:space="preserve">izdanje </w:t>
      </w:r>
      <w:hyperlink r:id="rId8" w:history="1">
        <w:r w:rsidRPr="005A7AB4">
          <w:rPr>
            <w:rStyle w:val="Hyperlink"/>
            <w:sz w:val="24"/>
            <w:lang w:val="hr-HR"/>
          </w:rPr>
          <w:t>NN 96/2017</w:t>
        </w:r>
      </w:hyperlink>
      <w:r w:rsidRPr="005A7AB4">
        <w:rPr>
          <w:sz w:val="24"/>
          <w:lang w:val="hr-HR"/>
        </w:rPr>
        <w:t>.</w:t>
      </w:r>
    </w:p>
    <w:p w14:paraId="71785245" w14:textId="135732F2" w:rsidR="00111273" w:rsidRPr="005A7AB4" w:rsidRDefault="00111273" w:rsidP="0098219C">
      <w:pPr>
        <w:jc w:val="both"/>
        <w:rPr>
          <w:sz w:val="24"/>
          <w:lang w:val="hr-HR"/>
        </w:rPr>
      </w:pPr>
      <w:r w:rsidRPr="005A7AB4">
        <w:rPr>
          <w:sz w:val="24"/>
          <w:lang w:val="hr-HR"/>
        </w:rPr>
        <w:t xml:space="preserve">Glavni cilj </w:t>
      </w:r>
      <w:r w:rsidR="00D2535C" w:rsidRPr="00D2535C">
        <w:rPr>
          <w:sz w:val="24"/>
          <w:lang w:val="hr-HR"/>
        </w:rPr>
        <w:t xml:space="preserve">Strategije Nacionalne infrastrukture prostornih podataka 2020. (u daljnjem tekstu: Strategija) </w:t>
      </w:r>
      <w:r w:rsidRPr="005A7AB4">
        <w:rPr>
          <w:sz w:val="24"/>
          <w:lang w:val="hr-HR"/>
        </w:rPr>
        <w:t xml:space="preserve">bio je dati smjernice uspostave NIPP-a, s posebnim osvrtom na provedbu </w:t>
      </w:r>
      <w:hyperlink r:id="rId9" w:tgtFrame="_blank" w:tooltip="Pristup službenim mrežnim stranicama zakonodavstva Europske unije - Direktiva 2007/2/EZ (Direktiva INSPIRE)" w:history="1">
        <w:r w:rsidR="006558A7" w:rsidRPr="00B42DC0">
          <w:rPr>
            <w:rStyle w:val="Hyperlink"/>
            <w:rFonts w:cstheme="minorHAnsi"/>
            <w:color w:val="142747"/>
            <w:sz w:val="24"/>
            <w:szCs w:val="24"/>
            <w:lang w:val="hr-HR"/>
          </w:rPr>
          <w:t>Direktive 2007/2/EZ Europskog parlamenta i Vijeća od 14. ožujka 2007. o uspostavljanju infrastrukture za prostorne informacije u Europskoj zajednici (INSPIRE) (SL L 108/1,</w:t>
        </w:r>
        <w:r w:rsidR="00B53395">
          <w:rPr>
            <w:rStyle w:val="Hyperlink"/>
            <w:rFonts w:cstheme="minorHAnsi"/>
            <w:color w:val="142747"/>
            <w:sz w:val="24"/>
            <w:szCs w:val="24"/>
            <w:lang w:val="hr-HR"/>
          </w:rPr>
          <w:t xml:space="preserve"> </w:t>
        </w:r>
        <w:r w:rsidR="006558A7" w:rsidRPr="00B42DC0">
          <w:rPr>
            <w:rStyle w:val="Hyperlink"/>
            <w:rFonts w:cstheme="minorHAnsi"/>
            <w:color w:val="142747"/>
            <w:sz w:val="24"/>
            <w:szCs w:val="24"/>
            <w:lang w:val="hr-HR"/>
          </w:rPr>
          <w:t>25.04.2007.)</w:t>
        </w:r>
      </w:hyperlink>
      <w:r w:rsidR="0098219C" w:rsidRPr="006558A7">
        <w:rPr>
          <w:sz w:val="24"/>
          <w:lang w:val="hr-HR"/>
        </w:rPr>
        <w:t xml:space="preserve"> </w:t>
      </w:r>
      <w:r w:rsidR="00BA0CD5">
        <w:rPr>
          <w:sz w:val="24"/>
          <w:lang w:val="hr-HR"/>
        </w:rPr>
        <w:t xml:space="preserve">(u daljnjem tekstu: </w:t>
      </w:r>
      <w:r w:rsidR="006558A7">
        <w:rPr>
          <w:sz w:val="24"/>
          <w:lang w:val="hr-HR"/>
        </w:rPr>
        <w:t xml:space="preserve">Direktiva </w:t>
      </w:r>
      <w:r w:rsidR="00BA0CD5">
        <w:rPr>
          <w:sz w:val="24"/>
          <w:lang w:val="hr-HR"/>
        </w:rPr>
        <w:t>INSPIRE)</w:t>
      </w:r>
      <w:r w:rsidRPr="005A7AB4">
        <w:rPr>
          <w:sz w:val="24"/>
          <w:lang w:val="hr-HR"/>
        </w:rPr>
        <w:t>, za vremensko razdoblje od 2017. - 2020. Strategija je uključivala definiciju vizije, misije, analizu trenutnog stanja, razvojne prioritete NIPP-a, pregled strateških ciljeva te vremenski okvir. Plan održavanja i daljnjeg razvoja NIPP-a temeljio se na nacionalnim potrebama i zahtjevima koji su proizašl</w:t>
      </w:r>
      <w:r w:rsidR="007C2E5B">
        <w:rPr>
          <w:sz w:val="24"/>
          <w:lang w:val="hr-HR"/>
        </w:rPr>
        <w:t>i</w:t>
      </w:r>
      <w:r w:rsidRPr="005A7AB4">
        <w:rPr>
          <w:sz w:val="24"/>
          <w:lang w:val="hr-HR"/>
        </w:rPr>
        <w:t xml:space="preserve"> iz hrvatskog pristupanja Europskoj uniji</w:t>
      </w:r>
      <w:r w:rsidR="00BA0CD5">
        <w:rPr>
          <w:sz w:val="24"/>
          <w:lang w:val="hr-HR"/>
        </w:rPr>
        <w:t xml:space="preserve"> (u daljnjem tekstu: EU)</w:t>
      </w:r>
      <w:r w:rsidRPr="005A7AB4">
        <w:rPr>
          <w:sz w:val="24"/>
          <w:lang w:val="hr-HR"/>
        </w:rPr>
        <w:t xml:space="preserve">. </w:t>
      </w:r>
    </w:p>
    <w:p w14:paraId="2FF9150F" w14:textId="77777777" w:rsidR="00111273" w:rsidRPr="005A7AB4" w:rsidRDefault="00793F04" w:rsidP="00111273">
      <w:pPr>
        <w:jc w:val="both"/>
        <w:rPr>
          <w:sz w:val="24"/>
          <w:lang w:val="hr-HR"/>
        </w:rPr>
      </w:pPr>
      <w:r>
        <w:rPr>
          <w:sz w:val="24"/>
          <w:lang w:val="hr-HR"/>
        </w:rPr>
        <w:t>U S</w:t>
      </w:r>
      <w:r w:rsidR="00111273" w:rsidRPr="005A7AB4">
        <w:rPr>
          <w:sz w:val="24"/>
          <w:lang w:val="hr-HR"/>
        </w:rPr>
        <w:t>tratešk</w:t>
      </w:r>
      <w:r w:rsidR="00D2535C">
        <w:rPr>
          <w:sz w:val="24"/>
          <w:lang w:val="hr-HR"/>
        </w:rPr>
        <w:t>om</w:t>
      </w:r>
      <w:r w:rsidR="00111273" w:rsidRPr="005A7AB4">
        <w:rPr>
          <w:sz w:val="24"/>
          <w:lang w:val="hr-HR"/>
        </w:rPr>
        <w:t xml:space="preserve"> plan</w:t>
      </w:r>
      <w:r w:rsidR="00D2535C">
        <w:rPr>
          <w:sz w:val="24"/>
          <w:lang w:val="hr-HR"/>
        </w:rPr>
        <w:t>u</w:t>
      </w:r>
      <w:r w:rsidR="00111273" w:rsidRPr="005A7AB4">
        <w:rPr>
          <w:sz w:val="24"/>
          <w:lang w:val="hr-HR"/>
        </w:rPr>
        <w:t xml:space="preserve"> </w:t>
      </w:r>
      <w:r w:rsidR="00D2535C" w:rsidRPr="00D2535C">
        <w:rPr>
          <w:sz w:val="24"/>
          <w:lang w:val="hr-HR"/>
        </w:rPr>
        <w:t xml:space="preserve">Nacionalne infrastrukture prostornih podataka </w:t>
      </w:r>
      <w:r w:rsidR="00D2535C">
        <w:rPr>
          <w:sz w:val="24"/>
          <w:lang w:val="hr-HR"/>
        </w:rPr>
        <w:t>za razdoblje 2017.</w:t>
      </w:r>
      <w:r w:rsidR="007C2E5B">
        <w:rPr>
          <w:sz w:val="24"/>
          <w:lang w:val="hr-HR"/>
        </w:rPr>
        <w:t xml:space="preserve"> </w:t>
      </w:r>
      <w:r w:rsidR="00D2535C">
        <w:rPr>
          <w:sz w:val="24"/>
          <w:lang w:val="hr-HR"/>
        </w:rPr>
        <w:t>-</w:t>
      </w:r>
      <w:r w:rsidR="007C2E5B">
        <w:rPr>
          <w:sz w:val="24"/>
          <w:lang w:val="hr-HR"/>
        </w:rPr>
        <w:t xml:space="preserve"> </w:t>
      </w:r>
      <w:r w:rsidR="00D2535C">
        <w:rPr>
          <w:sz w:val="24"/>
          <w:lang w:val="hr-HR"/>
        </w:rPr>
        <w:t>2020. (u daljnjem tekstu: Strateški plan)</w:t>
      </w:r>
      <w:r w:rsidR="00111273" w:rsidRPr="005A7AB4">
        <w:rPr>
          <w:sz w:val="24"/>
          <w:lang w:val="hr-HR"/>
        </w:rPr>
        <w:t xml:space="preserve"> navedeni su operativni ciljevi koje </w:t>
      </w:r>
      <w:r w:rsidR="00D277F9">
        <w:rPr>
          <w:sz w:val="24"/>
          <w:lang w:val="hr-HR"/>
        </w:rPr>
        <w:t xml:space="preserve">je </w:t>
      </w:r>
      <w:r w:rsidR="00111273" w:rsidRPr="005A7AB4">
        <w:rPr>
          <w:sz w:val="24"/>
          <w:lang w:val="hr-HR"/>
        </w:rPr>
        <w:t>treba</w:t>
      </w:r>
      <w:r w:rsidR="00D277F9">
        <w:rPr>
          <w:sz w:val="24"/>
          <w:lang w:val="hr-HR"/>
        </w:rPr>
        <w:t>lo</w:t>
      </w:r>
      <w:r w:rsidR="00111273" w:rsidRPr="005A7AB4">
        <w:rPr>
          <w:sz w:val="24"/>
          <w:lang w:val="hr-HR"/>
        </w:rPr>
        <w:t xml:space="preserve"> ostvariti tijekom godina, kao i pokazatelji za ocjenu napretka u razvoju. </w:t>
      </w:r>
    </w:p>
    <w:p w14:paraId="01A99AD3" w14:textId="77777777" w:rsidR="00111273" w:rsidRPr="005A7AB4" w:rsidRDefault="00111273" w:rsidP="00111273">
      <w:pPr>
        <w:jc w:val="both"/>
        <w:rPr>
          <w:sz w:val="24"/>
          <w:lang w:val="hr-HR"/>
        </w:rPr>
      </w:pPr>
      <w:r w:rsidRPr="005A7AB4">
        <w:rPr>
          <w:sz w:val="24"/>
          <w:lang w:val="hr-HR"/>
        </w:rPr>
        <w:t xml:space="preserve">Primarnu grupu korisnika prostornih podataka dostupnih kroz NIPP čine stručnjaci za prostorne podatke, no nije se smjela zanemariti i grupa korisnika koji nisu profesionalci u korištenju prostornih podataka, te je stoga vizija NIPP-a glasila: „Svatko može lako pronaći, razumjeti i koristiti prostorne podatke.“ </w:t>
      </w:r>
    </w:p>
    <w:p w14:paraId="62A530DF" w14:textId="77777777" w:rsidR="00111273" w:rsidRPr="005A7AB4" w:rsidRDefault="00111273" w:rsidP="00111273">
      <w:pPr>
        <w:jc w:val="both"/>
        <w:rPr>
          <w:sz w:val="24"/>
          <w:lang w:val="hr-HR"/>
        </w:rPr>
      </w:pPr>
      <w:r w:rsidRPr="005A7AB4">
        <w:rPr>
          <w:sz w:val="24"/>
          <w:lang w:val="hr-HR"/>
        </w:rPr>
        <w:lastRenderedPageBreak/>
        <w:t>Izjava o misiji, navodi ono što je trebalo činiti kako bi se mogla ostvariti vizija. Temeljem toga misija dionika NIPP-a je: „Uspostaviti infrastrukturu koja putem standardiziranih mrežnih usluga osigurava prostorne podatke javnim institucijama, poslovnim subjektima, organizacijama i građanima.“</w:t>
      </w:r>
    </w:p>
    <w:p w14:paraId="7650B8E5" w14:textId="77777777" w:rsidR="009D2B09" w:rsidRPr="005A7AB4" w:rsidRDefault="00111273" w:rsidP="00A1467C">
      <w:pPr>
        <w:jc w:val="both"/>
        <w:rPr>
          <w:sz w:val="24"/>
          <w:lang w:val="hr-HR"/>
        </w:rPr>
      </w:pPr>
      <w:r w:rsidRPr="005A7AB4">
        <w:rPr>
          <w:sz w:val="24"/>
          <w:lang w:val="hr-HR"/>
        </w:rPr>
        <w:t>Dosadašnji razvoj Nacionalne infrastrukture prostornih podataka bio je usmjeren na uspostavu zakonskog, institucionalnog i tehničkog okvira kako bi se subjekti NIPP-a i izvori prostornih podataka iz njihove nadležnosti mogli uključiti u NIPP.</w:t>
      </w:r>
      <w:r w:rsidR="009D2B09" w:rsidRPr="005A7AB4">
        <w:rPr>
          <w:sz w:val="24"/>
          <w:lang w:val="hr-HR"/>
        </w:rPr>
        <w:t xml:space="preserve"> </w:t>
      </w:r>
    </w:p>
    <w:p w14:paraId="11D2255A" w14:textId="77777777" w:rsidR="009D2B09" w:rsidRPr="005A7AB4" w:rsidRDefault="009D2B09" w:rsidP="00A514D1">
      <w:pPr>
        <w:jc w:val="both"/>
        <w:rPr>
          <w:sz w:val="24"/>
          <w:lang w:val="hr-HR"/>
        </w:rPr>
      </w:pPr>
      <w:r w:rsidRPr="005A7AB4">
        <w:rPr>
          <w:sz w:val="24"/>
          <w:lang w:val="hr-HR"/>
        </w:rPr>
        <w:t xml:space="preserve">Donošenjem i provođenjem Strategije </w:t>
      </w:r>
      <w:r w:rsidR="00827CAD">
        <w:rPr>
          <w:sz w:val="24"/>
          <w:lang w:val="hr-HR"/>
        </w:rPr>
        <w:t xml:space="preserve">i Strateškog plana </w:t>
      </w:r>
      <w:r w:rsidR="00F16FAC" w:rsidRPr="005A7AB4">
        <w:rPr>
          <w:sz w:val="24"/>
          <w:lang w:val="hr-HR"/>
        </w:rPr>
        <w:t>osiguran je</w:t>
      </w:r>
      <w:r w:rsidRPr="005A7AB4">
        <w:rPr>
          <w:sz w:val="24"/>
          <w:lang w:val="hr-HR"/>
        </w:rPr>
        <w:t xml:space="preserve"> plan provedbenih aktivnosti d</w:t>
      </w:r>
      <w:r w:rsidR="00A514D1" w:rsidRPr="005A7AB4">
        <w:rPr>
          <w:sz w:val="24"/>
          <w:lang w:val="hr-HR"/>
        </w:rPr>
        <w:t xml:space="preserve">efiniranih strateškim ciljevima. </w:t>
      </w:r>
      <w:r w:rsidR="000D0166" w:rsidRPr="005A7AB4">
        <w:rPr>
          <w:sz w:val="24"/>
          <w:lang w:val="hr-HR"/>
        </w:rPr>
        <w:t xml:space="preserve">Strateški ciljevi opisuju općeniti smjer provedbenih aktivnosti u određenom području </w:t>
      </w:r>
      <w:r w:rsidR="00A514D1" w:rsidRPr="005A7AB4">
        <w:rPr>
          <w:sz w:val="24"/>
          <w:lang w:val="hr-HR"/>
        </w:rPr>
        <w:t xml:space="preserve">kroz operativne ciljeve kojima se detaljnije razrađuju potrebni zadaci. </w:t>
      </w:r>
      <w:r w:rsidRPr="005A7AB4">
        <w:rPr>
          <w:sz w:val="24"/>
          <w:lang w:val="hr-HR"/>
        </w:rPr>
        <w:t xml:space="preserve">Akcijski plan je sastavni dio </w:t>
      </w:r>
      <w:r w:rsidR="00827CAD">
        <w:rPr>
          <w:sz w:val="24"/>
          <w:lang w:val="hr-HR"/>
        </w:rPr>
        <w:t>Strateškog plana</w:t>
      </w:r>
      <w:r w:rsidR="000D0166" w:rsidRPr="005A7AB4">
        <w:rPr>
          <w:sz w:val="24"/>
          <w:lang w:val="hr-HR"/>
        </w:rPr>
        <w:t>, a sastavljen je od ko</w:t>
      </w:r>
      <w:r w:rsidR="00A514D1" w:rsidRPr="005A7AB4">
        <w:rPr>
          <w:sz w:val="24"/>
          <w:lang w:val="hr-HR"/>
        </w:rPr>
        <w:t>nkretnih aktivnosti po određenoj</w:t>
      </w:r>
      <w:r w:rsidR="000D0166" w:rsidRPr="005A7AB4">
        <w:rPr>
          <w:sz w:val="24"/>
          <w:lang w:val="hr-HR"/>
        </w:rPr>
        <w:t xml:space="preserve"> instituciji uz </w:t>
      </w:r>
      <w:r w:rsidR="00A514D1" w:rsidRPr="005A7AB4">
        <w:rPr>
          <w:sz w:val="24"/>
          <w:lang w:val="hr-HR"/>
        </w:rPr>
        <w:t>planiran</w:t>
      </w:r>
      <w:r w:rsidR="000D0166" w:rsidRPr="005A7AB4">
        <w:rPr>
          <w:sz w:val="24"/>
          <w:lang w:val="hr-HR"/>
        </w:rPr>
        <w:t xml:space="preserve"> </w:t>
      </w:r>
      <w:r w:rsidR="00A514D1" w:rsidRPr="005A7AB4">
        <w:rPr>
          <w:sz w:val="24"/>
          <w:lang w:val="hr-HR"/>
        </w:rPr>
        <w:t xml:space="preserve">okvirni </w:t>
      </w:r>
      <w:r w:rsidR="000D0166" w:rsidRPr="005A7AB4">
        <w:rPr>
          <w:sz w:val="24"/>
          <w:lang w:val="hr-HR"/>
        </w:rPr>
        <w:t>trošak</w:t>
      </w:r>
      <w:r w:rsidR="00A514D1" w:rsidRPr="005A7AB4">
        <w:rPr>
          <w:sz w:val="24"/>
          <w:lang w:val="hr-HR"/>
        </w:rPr>
        <w:t xml:space="preserve"> te su njime predviđeni </w:t>
      </w:r>
      <w:r w:rsidR="007C2E5B">
        <w:rPr>
          <w:sz w:val="24"/>
          <w:lang w:val="hr-HR"/>
        </w:rPr>
        <w:t>pokazatelji</w:t>
      </w:r>
      <w:r w:rsidR="00A514D1" w:rsidRPr="005A7AB4">
        <w:rPr>
          <w:sz w:val="24"/>
          <w:lang w:val="hr-HR"/>
        </w:rPr>
        <w:t xml:space="preserve"> za svaki strateški cilj.</w:t>
      </w:r>
    </w:p>
    <w:p w14:paraId="45EFA06C" w14:textId="77777777" w:rsidR="006B1C00" w:rsidRDefault="006B1C00" w:rsidP="00A514D1">
      <w:pPr>
        <w:jc w:val="both"/>
        <w:rPr>
          <w:sz w:val="24"/>
          <w:lang w:val="hr-HR"/>
        </w:rPr>
      </w:pPr>
      <w:r w:rsidRPr="005A7AB4">
        <w:rPr>
          <w:sz w:val="24"/>
          <w:lang w:val="hr-HR"/>
        </w:rPr>
        <w:t xml:space="preserve">Glavni nositelj </w:t>
      </w:r>
      <w:r w:rsidR="00BD7790">
        <w:rPr>
          <w:sz w:val="24"/>
          <w:lang w:val="hr-HR"/>
        </w:rPr>
        <w:t>mjera</w:t>
      </w:r>
      <w:r w:rsidRPr="005A7AB4">
        <w:rPr>
          <w:sz w:val="24"/>
          <w:lang w:val="hr-HR"/>
        </w:rPr>
        <w:t xml:space="preserve"> Strategije je bila Državna geodetska uprava, </w:t>
      </w:r>
      <w:r w:rsidR="00827CAD">
        <w:rPr>
          <w:sz w:val="24"/>
          <w:lang w:val="hr-HR"/>
        </w:rPr>
        <w:t xml:space="preserve">a </w:t>
      </w:r>
      <w:proofErr w:type="spellStart"/>
      <w:r w:rsidR="00827CAD">
        <w:rPr>
          <w:sz w:val="24"/>
          <w:lang w:val="hr-HR"/>
        </w:rPr>
        <w:t>sunositelji</w:t>
      </w:r>
      <w:proofErr w:type="spellEnd"/>
      <w:r w:rsidRPr="005A7AB4">
        <w:rPr>
          <w:sz w:val="24"/>
          <w:lang w:val="hr-HR"/>
        </w:rPr>
        <w:t xml:space="preserve"> </w:t>
      </w:r>
      <w:r w:rsidR="00BD7790">
        <w:rPr>
          <w:sz w:val="24"/>
          <w:lang w:val="hr-HR"/>
        </w:rPr>
        <w:t xml:space="preserve">pojedinih aktivnosti iz Strateškog plana </w:t>
      </w:r>
      <w:r w:rsidRPr="005A7AB4">
        <w:rPr>
          <w:sz w:val="24"/>
          <w:lang w:val="hr-HR"/>
        </w:rPr>
        <w:t>subjekt</w:t>
      </w:r>
      <w:r w:rsidR="00827CAD">
        <w:rPr>
          <w:sz w:val="24"/>
          <w:lang w:val="hr-HR"/>
        </w:rPr>
        <w:t>i i tijela</w:t>
      </w:r>
      <w:r w:rsidRPr="005A7AB4">
        <w:rPr>
          <w:sz w:val="24"/>
          <w:lang w:val="hr-HR"/>
        </w:rPr>
        <w:t xml:space="preserve"> NIPP-a. </w:t>
      </w:r>
    </w:p>
    <w:p w14:paraId="14EA27F4" w14:textId="1E96307D" w:rsidR="00F23623" w:rsidRPr="007667B8" w:rsidRDefault="00F23623" w:rsidP="00F23623">
      <w:pPr>
        <w:jc w:val="both"/>
        <w:rPr>
          <w:sz w:val="24"/>
          <w:lang w:val="hr-HR"/>
        </w:rPr>
      </w:pPr>
      <w:r w:rsidRPr="007667B8">
        <w:rPr>
          <w:sz w:val="24"/>
          <w:lang w:val="hr-HR"/>
        </w:rPr>
        <w:t>S ciljem izrade Izvješća o provedbi mjera i aktivnosti iz Strategije Nacionalne infrastrukture prostornih podataka 2020. i Strateškog plana Nacionalne infrastrukture prostornih podatka za razdoblje 2017.</w:t>
      </w:r>
      <w:r w:rsidR="007C2E5B">
        <w:rPr>
          <w:sz w:val="24"/>
          <w:lang w:val="hr-HR"/>
        </w:rPr>
        <w:t xml:space="preserve"> </w:t>
      </w:r>
      <w:r w:rsidRPr="007667B8">
        <w:rPr>
          <w:sz w:val="24"/>
          <w:lang w:val="hr-HR"/>
        </w:rPr>
        <w:t>-</w:t>
      </w:r>
      <w:r w:rsidR="007C2E5B">
        <w:rPr>
          <w:sz w:val="24"/>
          <w:lang w:val="hr-HR"/>
        </w:rPr>
        <w:t xml:space="preserve"> </w:t>
      </w:r>
      <w:r w:rsidRPr="007667B8">
        <w:rPr>
          <w:sz w:val="24"/>
          <w:lang w:val="hr-HR"/>
        </w:rPr>
        <w:t xml:space="preserve">2020., Državna geodetska uprava je zatražila službeno očitovanje o provedbenim aktivnostima od strane nositelja aktivnosti, </w:t>
      </w:r>
      <w:r w:rsidR="007667B8" w:rsidRPr="007667B8">
        <w:rPr>
          <w:sz w:val="24"/>
          <w:lang w:val="hr-HR"/>
        </w:rPr>
        <w:t xml:space="preserve">sukladno </w:t>
      </w:r>
      <w:r w:rsidRPr="007667B8">
        <w:rPr>
          <w:sz w:val="24"/>
          <w:lang w:val="hr-HR"/>
        </w:rPr>
        <w:t xml:space="preserve">Prilogu II. Strategije. </w:t>
      </w:r>
      <w:r w:rsidR="002B65EA" w:rsidRPr="007667B8">
        <w:rPr>
          <w:sz w:val="24"/>
          <w:lang w:val="hr-HR"/>
        </w:rPr>
        <w:t>Popis subjekata</w:t>
      </w:r>
      <w:r w:rsidR="007667B8" w:rsidRPr="007667B8">
        <w:rPr>
          <w:sz w:val="24"/>
          <w:lang w:val="hr-HR"/>
        </w:rPr>
        <w:t xml:space="preserve"> kojima je poslan zahtjev za očitovanjem </w:t>
      </w:r>
      <w:r w:rsidR="002B65EA" w:rsidRPr="007667B8">
        <w:rPr>
          <w:sz w:val="24"/>
          <w:lang w:val="hr-HR"/>
        </w:rPr>
        <w:t xml:space="preserve"> dostupan je u </w:t>
      </w:r>
      <w:r w:rsidR="00F04954">
        <w:rPr>
          <w:sz w:val="24"/>
          <w:lang w:val="hr-HR"/>
        </w:rPr>
        <w:t>Poglavlju 4</w:t>
      </w:r>
      <w:r w:rsidR="002B65EA" w:rsidRPr="007667B8">
        <w:rPr>
          <w:sz w:val="24"/>
          <w:lang w:val="hr-HR"/>
        </w:rPr>
        <w:t>.</w:t>
      </w:r>
      <w:r w:rsidR="007667B8" w:rsidRPr="007667B8">
        <w:rPr>
          <w:sz w:val="24"/>
          <w:lang w:val="hr-HR"/>
        </w:rPr>
        <w:t xml:space="preserve"> ovog Izvješća.</w:t>
      </w:r>
      <w:r w:rsidR="002B65EA" w:rsidRPr="007667B8">
        <w:rPr>
          <w:sz w:val="24"/>
          <w:lang w:val="hr-HR"/>
        </w:rPr>
        <w:t xml:space="preserve"> </w:t>
      </w:r>
      <w:r w:rsidRPr="007667B8">
        <w:rPr>
          <w:sz w:val="24"/>
          <w:lang w:val="hr-HR"/>
        </w:rPr>
        <w:t xml:space="preserve">Na temelju zaprimljenih očitovanja tijela javne vlasti uključenih u provedbu, izrađeno je Izvješće koje je strukturirano prema zadanim strateškim ciljevima i njihovim provedbenim aktivnostima, a odazvalo se svih 37 subjekata. </w:t>
      </w:r>
    </w:p>
    <w:p w14:paraId="760B7183" w14:textId="77777777" w:rsidR="00F23623" w:rsidRPr="005A7AB4" w:rsidRDefault="00F23623" w:rsidP="00A514D1">
      <w:pPr>
        <w:jc w:val="both"/>
        <w:rPr>
          <w:sz w:val="24"/>
          <w:lang w:val="hr-HR"/>
        </w:rPr>
      </w:pPr>
    </w:p>
    <w:p w14:paraId="300E9F6F" w14:textId="77777777" w:rsidR="006B1C00" w:rsidRDefault="006B1C00" w:rsidP="00A514D1">
      <w:pPr>
        <w:jc w:val="both"/>
        <w:rPr>
          <w:lang w:val="hr-HR"/>
        </w:rPr>
      </w:pPr>
    </w:p>
    <w:p w14:paraId="3C072E15" w14:textId="77777777" w:rsidR="00CF36CB" w:rsidRDefault="00CF36CB" w:rsidP="00CF36CB">
      <w:pPr>
        <w:jc w:val="both"/>
        <w:rPr>
          <w:lang w:val="hr-HR"/>
        </w:rPr>
      </w:pPr>
    </w:p>
    <w:p w14:paraId="7A7F9D6A" w14:textId="77777777" w:rsidR="00CF36CB" w:rsidRDefault="00CF36CB" w:rsidP="00CF36CB">
      <w:pPr>
        <w:jc w:val="both"/>
        <w:rPr>
          <w:lang w:val="hr-HR"/>
        </w:rPr>
      </w:pPr>
    </w:p>
    <w:p w14:paraId="0CC6D7C8" w14:textId="77777777" w:rsidR="00CF36CB" w:rsidRDefault="00CF36CB" w:rsidP="00CF36CB">
      <w:pPr>
        <w:jc w:val="both"/>
        <w:rPr>
          <w:lang w:val="hr-HR"/>
        </w:rPr>
      </w:pPr>
    </w:p>
    <w:p w14:paraId="4350D944" w14:textId="77777777" w:rsidR="00A514D1" w:rsidRDefault="00A514D1" w:rsidP="00A514D1">
      <w:pPr>
        <w:jc w:val="both"/>
        <w:rPr>
          <w:lang w:val="hr-HR"/>
        </w:rPr>
      </w:pPr>
    </w:p>
    <w:p w14:paraId="0FABD5BB" w14:textId="77777777" w:rsidR="00300BD6" w:rsidRPr="00587199" w:rsidRDefault="00300BD6" w:rsidP="00587199">
      <w:pPr>
        <w:jc w:val="both"/>
        <w:rPr>
          <w:lang w:val="hr-HR"/>
        </w:rPr>
      </w:pPr>
      <w:r w:rsidRPr="00587199">
        <w:rPr>
          <w:lang w:val="hr-HR"/>
        </w:rPr>
        <w:br w:type="page"/>
      </w:r>
    </w:p>
    <w:p w14:paraId="4E331A1C" w14:textId="77777777" w:rsidR="00D20C38" w:rsidRPr="00F80B02" w:rsidRDefault="00D20C38" w:rsidP="008C1448">
      <w:pPr>
        <w:pStyle w:val="Heading1"/>
        <w:numPr>
          <w:ilvl w:val="0"/>
          <w:numId w:val="14"/>
        </w:numPr>
        <w:ind w:left="426"/>
      </w:pPr>
      <w:bookmarkStart w:id="2" w:name="_Toc89761117"/>
      <w:r w:rsidRPr="00F80B02">
        <w:lastRenderedPageBreak/>
        <w:t>Strateški ciljevi i aktivnosti</w:t>
      </w:r>
      <w:bookmarkEnd w:id="2"/>
    </w:p>
    <w:p w14:paraId="197D8056" w14:textId="77777777" w:rsidR="00A1467C" w:rsidRPr="00A1467C" w:rsidRDefault="00A1467C" w:rsidP="00A1467C">
      <w:pPr>
        <w:rPr>
          <w:lang w:val="hr-HR"/>
        </w:rPr>
      </w:pPr>
    </w:p>
    <w:p w14:paraId="7EB126C0" w14:textId="77777777" w:rsidR="00A1467C" w:rsidRPr="005A7AB4" w:rsidRDefault="00A1467C" w:rsidP="00A1467C">
      <w:pPr>
        <w:jc w:val="both"/>
        <w:rPr>
          <w:sz w:val="24"/>
          <w:lang w:val="hr-HR"/>
        </w:rPr>
      </w:pPr>
      <w:r>
        <w:rPr>
          <w:sz w:val="24"/>
          <w:lang w:val="hr-HR"/>
        </w:rPr>
        <w:t>Razvoj NIPP-a</w:t>
      </w:r>
      <w:r w:rsidRPr="005A7AB4">
        <w:rPr>
          <w:sz w:val="24"/>
          <w:lang w:val="hr-HR"/>
        </w:rPr>
        <w:t xml:space="preserve"> </w:t>
      </w:r>
      <w:r>
        <w:rPr>
          <w:sz w:val="24"/>
          <w:lang w:val="hr-HR"/>
        </w:rPr>
        <w:t xml:space="preserve">određen je </w:t>
      </w:r>
      <w:r w:rsidRPr="005A7AB4">
        <w:rPr>
          <w:sz w:val="24"/>
          <w:lang w:val="hr-HR"/>
        </w:rPr>
        <w:t xml:space="preserve">Strategijom </w:t>
      </w:r>
      <w:r>
        <w:rPr>
          <w:sz w:val="24"/>
          <w:lang w:val="hr-HR"/>
        </w:rPr>
        <w:t>k</w:t>
      </w:r>
      <w:r w:rsidRPr="005A7AB4">
        <w:rPr>
          <w:sz w:val="24"/>
          <w:lang w:val="hr-HR"/>
        </w:rPr>
        <w:t>roz sedam zadanih ciljeva:</w:t>
      </w:r>
    </w:p>
    <w:p w14:paraId="6D2886D6" w14:textId="77777777" w:rsidR="00A1467C" w:rsidRPr="005A7AB4" w:rsidRDefault="00A1467C" w:rsidP="00A1467C">
      <w:pPr>
        <w:rPr>
          <w:sz w:val="24"/>
          <w:lang w:val="hr-HR"/>
        </w:rPr>
      </w:pPr>
      <w:r w:rsidRPr="005A7AB4">
        <w:rPr>
          <w:sz w:val="24"/>
          <w:lang w:val="hr-HR"/>
        </w:rPr>
        <w:t xml:space="preserve">Cilj br. 1: Zna se za NIPP i koristi koje on donosi. </w:t>
      </w:r>
    </w:p>
    <w:p w14:paraId="46C9BFF2" w14:textId="77777777" w:rsidR="00A1467C" w:rsidRPr="005A7AB4" w:rsidRDefault="00A1467C" w:rsidP="00A1467C">
      <w:pPr>
        <w:ind w:left="720"/>
        <w:rPr>
          <w:sz w:val="24"/>
          <w:lang w:val="hr-HR"/>
        </w:rPr>
      </w:pPr>
      <w:r w:rsidRPr="005A7AB4">
        <w:rPr>
          <w:sz w:val="24"/>
          <w:lang w:val="hr-HR"/>
        </w:rPr>
        <w:t xml:space="preserve">Strategija za ostvarivanje ovog cilja je da dionici NIPP-a prepoznaju i mogu opisati prednosti koje im NIPP donosi i da se te prednosti mogu predstaviti. Kako bi se to realiziralo </w:t>
      </w:r>
      <w:r>
        <w:rPr>
          <w:sz w:val="24"/>
          <w:lang w:val="hr-HR"/>
        </w:rPr>
        <w:t>bilo je potrebno razraditi</w:t>
      </w:r>
      <w:r w:rsidRPr="005A7AB4">
        <w:rPr>
          <w:sz w:val="24"/>
          <w:lang w:val="hr-HR"/>
        </w:rPr>
        <w:t xml:space="preserve"> komunikacijski plan kojim će se definirati aktivnosti podizanja svijesti usmjerene prema svim dionicima NIPP-a. </w:t>
      </w:r>
    </w:p>
    <w:p w14:paraId="44D578A9" w14:textId="77777777" w:rsidR="00A1467C" w:rsidRPr="005A7AB4" w:rsidRDefault="00A1467C" w:rsidP="00A1467C">
      <w:pPr>
        <w:rPr>
          <w:sz w:val="24"/>
          <w:lang w:val="hr-HR"/>
        </w:rPr>
      </w:pPr>
      <w:r w:rsidRPr="005A7AB4">
        <w:rPr>
          <w:sz w:val="24"/>
          <w:lang w:val="hr-HR"/>
        </w:rPr>
        <w:t xml:space="preserve">Cilj br. 2: Prostorni podaci i usluge su dostupni i zadovoljavaju potrebe korisnika. </w:t>
      </w:r>
    </w:p>
    <w:p w14:paraId="4C82CBC0" w14:textId="77777777" w:rsidR="00A1467C" w:rsidRPr="005A7AB4" w:rsidRDefault="00A1467C" w:rsidP="00A1467C">
      <w:pPr>
        <w:ind w:left="720"/>
        <w:rPr>
          <w:sz w:val="24"/>
          <w:lang w:val="hr-HR"/>
        </w:rPr>
      </w:pPr>
      <w:r w:rsidRPr="005A7AB4">
        <w:rPr>
          <w:sz w:val="24"/>
          <w:lang w:val="hr-HR"/>
        </w:rPr>
        <w:t xml:space="preserve">Jedna od ključnih strategija je korištenje međunarodnih standarda i prihvaćenih tehničkih normi struke. Uporaba opće prihvaćenih normi smanjuje troškove razmjene podataka i pružanja usluga. Osim toga, </w:t>
      </w:r>
      <w:proofErr w:type="spellStart"/>
      <w:r w:rsidRPr="005A7AB4">
        <w:rPr>
          <w:sz w:val="24"/>
          <w:lang w:val="hr-HR"/>
        </w:rPr>
        <w:t>metapodaci</w:t>
      </w:r>
      <w:proofErr w:type="spellEnd"/>
      <w:r w:rsidRPr="005A7AB4">
        <w:rPr>
          <w:sz w:val="24"/>
          <w:lang w:val="hr-HR"/>
        </w:rPr>
        <w:t xml:space="preserve"> koji opisuju izvore prostornih podataka moraju biti lako razumljivi kako bi se njihovo korištenje moglo ocjenjivati. </w:t>
      </w:r>
    </w:p>
    <w:p w14:paraId="50CF7537" w14:textId="77777777" w:rsidR="00A1467C" w:rsidRPr="005A7AB4" w:rsidRDefault="00A1467C" w:rsidP="00A1467C">
      <w:pPr>
        <w:rPr>
          <w:sz w:val="24"/>
          <w:lang w:val="hr-HR"/>
        </w:rPr>
      </w:pPr>
      <w:r w:rsidRPr="005A7AB4">
        <w:rPr>
          <w:sz w:val="24"/>
          <w:lang w:val="hr-HR"/>
        </w:rPr>
        <w:t xml:space="preserve">Cilj br. 3: Uvjeti i naknade za korištenje prostornih podataka lako su razumljivi. </w:t>
      </w:r>
    </w:p>
    <w:p w14:paraId="41D0B179" w14:textId="77777777" w:rsidR="00A1467C" w:rsidRPr="005A7AB4" w:rsidRDefault="00A1467C" w:rsidP="00A1467C">
      <w:pPr>
        <w:ind w:left="720"/>
        <w:rPr>
          <w:sz w:val="24"/>
          <w:lang w:val="hr-HR"/>
        </w:rPr>
      </w:pPr>
      <w:r w:rsidRPr="005A7AB4">
        <w:rPr>
          <w:sz w:val="24"/>
          <w:lang w:val="hr-HR"/>
        </w:rPr>
        <w:t xml:space="preserve">Strategija za ostvarenje ovog cilja je razvoj jedinstvenih modela licenciranja (uključujući autorska prava) zasnovanih na modelima otvorenih licenci i na jednostavnim strukturama i procedurama naknada i naplata, uključujući razvoj modela određivanja cijena. </w:t>
      </w:r>
    </w:p>
    <w:p w14:paraId="7E353769" w14:textId="77777777" w:rsidR="00A1467C" w:rsidRPr="005A7AB4" w:rsidRDefault="00A1467C" w:rsidP="00A1467C">
      <w:pPr>
        <w:rPr>
          <w:sz w:val="24"/>
          <w:lang w:val="hr-HR"/>
        </w:rPr>
      </w:pPr>
      <w:r w:rsidRPr="005A7AB4">
        <w:rPr>
          <w:sz w:val="24"/>
          <w:lang w:val="hr-HR"/>
        </w:rPr>
        <w:t xml:space="preserve">Cilj br. 4: Korištenje NIPP-a uređeno je odgovarajućim pravilima i politikama. </w:t>
      </w:r>
    </w:p>
    <w:p w14:paraId="5A9BA9C9" w14:textId="77777777" w:rsidR="00A1467C" w:rsidRPr="005A7AB4" w:rsidRDefault="00A1467C" w:rsidP="00A1467C">
      <w:pPr>
        <w:ind w:left="720"/>
        <w:rPr>
          <w:sz w:val="24"/>
          <w:lang w:val="hr-HR"/>
        </w:rPr>
      </w:pPr>
      <w:r w:rsidRPr="005A7AB4">
        <w:rPr>
          <w:sz w:val="24"/>
          <w:lang w:val="hr-HR"/>
        </w:rPr>
        <w:t xml:space="preserve">Članstvom u EU te činjenicom da su neki od dionika NIPP-a izvan Hrvatske (tijela EU, međunarodne organizacije itd.), pravila i politike kojima je uređeno korištenje NIPP-a moraju biti usklađeni s europskim načelima. </w:t>
      </w:r>
    </w:p>
    <w:p w14:paraId="20CD5A90" w14:textId="77777777" w:rsidR="00A1467C" w:rsidRPr="005A7AB4" w:rsidRDefault="00A1467C" w:rsidP="00A1467C">
      <w:pPr>
        <w:rPr>
          <w:sz w:val="24"/>
          <w:lang w:val="hr-HR"/>
        </w:rPr>
      </w:pPr>
      <w:r w:rsidRPr="005A7AB4">
        <w:rPr>
          <w:sz w:val="24"/>
          <w:lang w:val="hr-HR"/>
        </w:rPr>
        <w:t xml:space="preserve">Cilj br. 5: Postoji dovoljno operativnih mogućnosti na raspolaganju za djelotvorno i učinkovito </w:t>
      </w:r>
      <w:r w:rsidRPr="005A7AB4">
        <w:rPr>
          <w:sz w:val="24"/>
          <w:lang w:val="hr-HR"/>
        </w:rPr>
        <w:br/>
        <w:t xml:space="preserve">korištenje NIPP-a </w:t>
      </w:r>
    </w:p>
    <w:p w14:paraId="0118184A" w14:textId="77777777" w:rsidR="00A1467C" w:rsidRPr="005A7AB4" w:rsidRDefault="00A1467C" w:rsidP="00A1467C">
      <w:pPr>
        <w:ind w:left="720"/>
        <w:rPr>
          <w:sz w:val="24"/>
          <w:lang w:val="hr-HR"/>
        </w:rPr>
      </w:pPr>
      <w:r w:rsidRPr="005A7AB4">
        <w:rPr>
          <w:sz w:val="24"/>
          <w:lang w:val="hr-HR"/>
        </w:rPr>
        <w:t xml:space="preserve">Izraz „operativne mogućnosti“ možemo podijeliti na sposobnosti i financijske izvore. Jedan dio strategije odnosi se na izgradnju kompetencija razvojem studijskih programa za studente na sveučilištima i stručne poduke sadašnjim profesionalcima. Problem ograničenih financijskih kapaciteta može se riješiti traženjem podrške iz strukturnih fondova EU, a radi djelotvornosti i iskorištavanja najboljih prilika, potrebna je suradnja sa tijelom nadležnim za poslove e-Hrvatske. </w:t>
      </w:r>
    </w:p>
    <w:p w14:paraId="1468776C" w14:textId="77777777" w:rsidR="00A1467C" w:rsidRPr="005A7AB4" w:rsidRDefault="00A1467C" w:rsidP="00A1467C">
      <w:pPr>
        <w:rPr>
          <w:sz w:val="24"/>
          <w:lang w:val="hr-HR"/>
        </w:rPr>
      </w:pPr>
      <w:r w:rsidRPr="005A7AB4">
        <w:rPr>
          <w:sz w:val="24"/>
          <w:lang w:val="hr-HR"/>
        </w:rPr>
        <w:t xml:space="preserve">Cilj br. 6: NIPP podržava druge važne politike i programe na nacionalnoj i međunarodnoj razini. </w:t>
      </w:r>
    </w:p>
    <w:p w14:paraId="06BA27FB" w14:textId="27B8C0D6" w:rsidR="00A1467C" w:rsidRPr="005A7AB4" w:rsidRDefault="00A1467C" w:rsidP="00A1467C">
      <w:pPr>
        <w:ind w:left="720"/>
        <w:rPr>
          <w:sz w:val="24"/>
          <w:lang w:val="hr-HR"/>
        </w:rPr>
      </w:pPr>
      <w:r w:rsidRPr="005A7AB4">
        <w:rPr>
          <w:sz w:val="24"/>
          <w:lang w:val="hr-HR"/>
        </w:rPr>
        <w:t>Ovdje je primarna strategija fokusirati se na sukladnost i usklađenost s nacionalnim programskim okvirom za e-Hrvatsku i s</w:t>
      </w:r>
      <w:r w:rsidR="00202BC8">
        <w:rPr>
          <w:sz w:val="24"/>
          <w:lang w:val="hr-HR"/>
        </w:rPr>
        <w:t>a</w:t>
      </w:r>
      <w:r w:rsidRPr="005A7AB4">
        <w:rPr>
          <w:sz w:val="24"/>
          <w:lang w:val="hr-HR"/>
        </w:rPr>
        <w:t xml:space="preserve"> </w:t>
      </w:r>
      <w:r w:rsidR="00606C46">
        <w:rPr>
          <w:sz w:val="24"/>
          <w:lang w:val="hr-HR"/>
        </w:rPr>
        <w:t xml:space="preserve">zahtjevima koji proizlaze iz </w:t>
      </w:r>
      <w:r w:rsidR="006062EC">
        <w:rPr>
          <w:sz w:val="24"/>
          <w:lang w:val="hr-HR"/>
        </w:rPr>
        <w:t xml:space="preserve">Zakona o </w:t>
      </w:r>
      <w:r w:rsidR="006062EC">
        <w:rPr>
          <w:sz w:val="24"/>
          <w:lang w:val="hr-HR"/>
        </w:rPr>
        <w:lastRenderedPageBreak/>
        <w:t>Nacionalnoj infrastrukturi prostornih podataka</w:t>
      </w:r>
      <w:r w:rsidR="00202BC8">
        <w:rPr>
          <w:sz w:val="24"/>
          <w:lang w:val="hr-HR"/>
        </w:rPr>
        <w:t xml:space="preserve"> </w:t>
      </w:r>
      <w:r w:rsidR="00202BC8" w:rsidRPr="00202BC8">
        <w:rPr>
          <w:sz w:val="24"/>
          <w:lang w:val="hr-HR"/>
        </w:rPr>
        <w:t>(NN 56/13, 52/18, 50/20)</w:t>
      </w:r>
      <w:r w:rsidR="00C43CE4">
        <w:rPr>
          <w:sz w:val="24"/>
          <w:lang w:val="hr-HR"/>
        </w:rPr>
        <w:t xml:space="preserve"> (u daljnjem tekstu: Zakon o NIPP-u)</w:t>
      </w:r>
      <w:r w:rsidR="006062EC">
        <w:rPr>
          <w:sz w:val="24"/>
          <w:lang w:val="hr-HR"/>
        </w:rPr>
        <w:t xml:space="preserve">, a samim time i zahtjevima </w:t>
      </w:r>
      <w:r w:rsidR="006558A7">
        <w:rPr>
          <w:sz w:val="24"/>
          <w:lang w:val="hr-HR"/>
        </w:rPr>
        <w:t>Direktiv</w:t>
      </w:r>
      <w:r w:rsidR="006062EC">
        <w:rPr>
          <w:sz w:val="24"/>
          <w:lang w:val="hr-HR"/>
        </w:rPr>
        <w:t>e</w:t>
      </w:r>
      <w:r w:rsidR="006558A7">
        <w:rPr>
          <w:sz w:val="24"/>
          <w:lang w:val="hr-HR"/>
        </w:rPr>
        <w:t xml:space="preserve"> </w:t>
      </w:r>
      <w:r w:rsidRPr="005A7AB4">
        <w:rPr>
          <w:sz w:val="24"/>
          <w:lang w:val="hr-HR"/>
        </w:rPr>
        <w:t>INSPIRE</w:t>
      </w:r>
      <w:r w:rsidR="006558A7">
        <w:rPr>
          <w:sz w:val="24"/>
          <w:lang w:val="hr-HR"/>
        </w:rPr>
        <w:t>.</w:t>
      </w:r>
      <w:r w:rsidRPr="005A7AB4">
        <w:rPr>
          <w:sz w:val="24"/>
          <w:lang w:val="hr-HR"/>
        </w:rPr>
        <w:t xml:space="preserve"> </w:t>
      </w:r>
    </w:p>
    <w:p w14:paraId="2E9C7A93" w14:textId="77777777" w:rsidR="00A1467C" w:rsidRPr="005A7AB4" w:rsidRDefault="00A1467C" w:rsidP="00A1467C">
      <w:pPr>
        <w:rPr>
          <w:sz w:val="24"/>
          <w:lang w:val="hr-HR"/>
        </w:rPr>
      </w:pPr>
      <w:r w:rsidRPr="005A7AB4">
        <w:rPr>
          <w:sz w:val="24"/>
          <w:lang w:val="hr-HR"/>
        </w:rPr>
        <w:t xml:space="preserve">Cilj br. 7: Dionici NIPP-a (subjekti NIPP-a i korisnici) surađuju kroz partnerstva i druge tipove </w:t>
      </w:r>
      <w:r w:rsidRPr="005A7AB4">
        <w:rPr>
          <w:sz w:val="24"/>
          <w:lang w:val="hr-HR"/>
        </w:rPr>
        <w:br/>
        <w:t xml:space="preserve">sporazuma. </w:t>
      </w:r>
    </w:p>
    <w:p w14:paraId="441725F1" w14:textId="77777777" w:rsidR="00A1467C" w:rsidRDefault="00A1467C" w:rsidP="00A1467C">
      <w:pPr>
        <w:ind w:left="720"/>
        <w:rPr>
          <w:sz w:val="24"/>
          <w:lang w:val="hr-HR"/>
        </w:rPr>
      </w:pPr>
      <w:r w:rsidRPr="005A7AB4">
        <w:rPr>
          <w:sz w:val="24"/>
          <w:lang w:val="hr-HR"/>
        </w:rPr>
        <w:t>Jedan od ciljeva strategije je podrška boljoj suradnji između institucija – subjekata i korisnika. Danas sličnim tipovima podataka upravlja nekoliko različitih institucija. Precizna definicija nadležnosti institucija kroz propise i poboljšanje suradnje, uz dijeljenje ne samo podataka, nego i troškova prikupljanja podataka, dovesti će do boljeg kor</w:t>
      </w:r>
      <w:r>
        <w:rPr>
          <w:sz w:val="24"/>
          <w:lang w:val="hr-HR"/>
        </w:rPr>
        <w:t>ištenja kapaciteta za ulaganja.</w:t>
      </w:r>
    </w:p>
    <w:p w14:paraId="47176A27" w14:textId="77777777" w:rsidR="00F23623" w:rsidRDefault="00F23623" w:rsidP="00A1467C">
      <w:pPr>
        <w:rPr>
          <w:sz w:val="24"/>
          <w:lang w:val="hr-HR"/>
        </w:rPr>
      </w:pPr>
    </w:p>
    <w:p w14:paraId="685022FF" w14:textId="77777777" w:rsidR="00A1467C" w:rsidRPr="00A1467C" w:rsidRDefault="00A1467C" w:rsidP="00A1467C">
      <w:pPr>
        <w:rPr>
          <w:sz w:val="24"/>
          <w:lang w:val="hr-HR"/>
        </w:rPr>
      </w:pPr>
      <w:r>
        <w:rPr>
          <w:sz w:val="24"/>
          <w:lang w:val="hr-HR"/>
        </w:rPr>
        <w:t xml:space="preserve">U daljnjem tekstu svaki od ciljeva je detaljnije obrađen, sukladno povratnim informacijama zaprimljenim od nositelja i </w:t>
      </w:r>
      <w:proofErr w:type="spellStart"/>
      <w:r>
        <w:rPr>
          <w:sz w:val="24"/>
          <w:lang w:val="hr-HR"/>
        </w:rPr>
        <w:t>sunositelja</w:t>
      </w:r>
      <w:proofErr w:type="spellEnd"/>
      <w:r>
        <w:rPr>
          <w:sz w:val="24"/>
          <w:lang w:val="hr-HR"/>
        </w:rPr>
        <w:t xml:space="preserve"> pojedinih aktivnosti. </w:t>
      </w:r>
    </w:p>
    <w:p w14:paraId="655B7FC1" w14:textId="77777777" w:rsidR="00E15A50" w:rsidRPr="00DF7D9C" w:rsidRDefault="00E15A50" w:rsidP="00E15A50">
      <w:pPr>
        <w:rPr>
          <w:lang w:val="hr-HR"/>
        </w:rPr>
      </w:pPr>
    </w:p>
    <w:p w14:paraId="0240F745" w14:textId="77777777" w:rsidR="00F80B02" w:rsidRPr="00F80B02" w:rsidRDefault="00F80B02" w:rsidP="008C1448">
      <w:pPr>
        <w:pStyle w:val="ListParagraph"/>
        <w:keepNext/>
        <w:keepLines/>
        <w:numPr>
          <w:ilvl w:val="0"/>
          <w:numId w:val="2"/>
        </w:numPr>
        <w:spacing w:before="240" w:after="0"/>
        <w:contextualSpacing w:val="0"/>
        <w:outlineLvl w:val="0"/>
        <w:rPr>
          <w:rFonts w:asciiTheme="majorHAnsi" w:eastAsiaTheme="majorEastAsia" w:hAnsiTheme="majorHAnsi" w:cstheme="majorBidi"/>
          <w:vanish/>
          <w:color w:val="3B3838" w:themeColor="background2" w:themeShade="40"/>
          <w:sz w:val="28"/>
          <w:szCs w:val="32"/>
          <w:lang w:val="hr-HR"/>
        </w:rPr>
      </w:pPr>
      <w:bookmarkStart w:id="3" w:name="_Toc86415069"/>
      <w:bookmarkStart w:id="4" w:name="_Toc86415759"/>
      <w:bookmarkStart w:id="5" w:name="_Toc87010986"/>
      <w:bookmarkStart w:id="6" w:name="_Toc87276569"/>
      <w:bookmarkStart w:id="7" w:name="_Toc87598437"/>
      <w:bookmarkStart w:id="8" w:name="_Toc89343299"/>
      <w:bookmarkStart w:id="9" w:name="_Toc89760527"/>
      <w:bookmarkStart w:id="10" w:name="_Toc89761118"/>
      <w:bookmarkEnd w:id="3"/>
      <w:bookmarkEnd w:id="4"/>
      <w:bookmarkEnd w:id="5"/>
      <w:bookmarkEnd w:id="6"/>
      <w:bookmarkEnd w:id="7"/>
      <w:bookmarkEnd w:id="8"/>
      <w:bookmarkEnd w:id="9"/>
      <w:bookmarkEnd w:id="10"/>
    </w:p>
    <w:p w14:paraId="115AB19D" w14:textId="77777777" w:rsidR="00F80B02" w:rsidRPr="00F80B02" w:rsidRDefault="00F80B02" w:rsidP="008C1448">
      <w:pPr>
        <w:pStyle w:val="ListParagraph"/>
        <w:keepNext/>
        <w:keepLines/>
        <w:numPr>
          <w:ilvl w:val="0"/>
          <w:numId w:val="2"/>
        </w:numPr>
        <w:spacing w:before="240" w:after="0"/>
        <w:contextualSpacing w:val="0"/>
        <w:outlineLvl w:val="0"/>
        <w:rPr>
          <w:rFonts w:asciiTheme="majorHAnsi" w:eastAsiaTheme="majorEastAsia" w:hAnsiTheme="majorHAnsi" w:cstheme="majorBidi"/>
          <w:vanish/>
          <w:color w:val="3B3838" w:themeColor="background2" w:themeShade="40"/>
          <w:sz w:val="28"/>
          <w:szCs w:val="32"/>
          <w:lang w:val="hr-HR"/>
        </w:rPr>
      </w:pPr>
      <w:bookmarkStart w:id="11" w:name="_Toc86415070"/>
      <w:bookmarkStart w:id="12" w:name="_Toc86415760"/>
      <w:bookmarkStart w:id="13" w:name="_Toc87010987"/>
      <w:bookmarkStart w:id="14" w:name="_Toc87276570"/>
      <w:bookmarkStart w:id="15" w:name="_Toc87598438"/>
      <w:bookmarkStart w:id="16" w:name="_Toc89343300"/>
      <w:bookmarkStart w:id="17" w:name="_Toc89760528"/>
      <w:bookmarkStart w:id="18" w:name="_Toc89761119"/>
      <w:bookmarkEnd w:id="11"/>
      <w:bookmarkEnd w:id="12"/>
      <w:bookmarkEnd w:id="13"/>
      <w:bookmarkEnd w:id="14"/>
      <w:bookmarkEnd w:id="15"/>
      <w:bookmarkEnd w:id="16"/>
      <w:bookmarkEnd w:id="17"/>
      <w:bookmarkEnd w:id="18"/>
    </w:p>
    <w:p w14:paraId="5F5C9992" w14:textId="77777777" w:rsidR="00D20C38" w:rsidRPr="00A059B2" w:rsidRDefault="00D20C38" w:rsidP="008C1448">
      <w:pPr>
        <w:pStyle w:val="Heading2"/>
        <w:numPr>
          <w:ilvl w:val="1"/>
          <w:numId w:val="2"/>
        </w:numPr>
        <w:rPr>
          <w:color w:val="auto"/>
        </w:rPr>
      </w:pPr>
      <w:bookmarkStart w:id="19" w:name="_Toc89761120"/>
      <w:r w:rsidRPr="00A059B2">
        <w:rPr>
          <w:color w:val="auto"/>
        </w:rPr>
        <w:t>Strateški cilj br. 1: Zna se za NIPP i koristi koje on donosi</w:t>
      </w:r>
      <w:bookmarkEnd w:id="19"/>
    </w:p>
    <w:p w14:paraId="7E7C5618" w14:textId="77777777" w:rsidR="00BC6671" w:rsidRPr="00BC6671" w:rsidRDefault="00BC6671" w:rsidP="00BC6671">
      <w:pPr>
        <w:rPr>
          <w:lang w:val="hr-HR"/>
        </w:rPr>
      </w:pPr>
    </w:p>
    <w:tbl>
      <w:tblPr>
        <w:tblW w:w="963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047"/>
        <w:gridCol w:w="3796"/>
        <w:gridCol w:w="1265"/>
        <w:gridCol w:w="2531"/>
      </w:tblGrid>
      <w:tr w:rsidR="001E5505" w:rsidRPr="00454565" w14:paraId="7F8EC5D7" w14:textId="77777777" w:rsidTr="002C7AB6">
        <w:trPr>
          <w:trHeight w:val="1515"/>
        </w:trPr>
        <w:tc>
          <w:tcPr>
            <w:tcW w:w="2047" w:type="dxa"/>
            <w:shd w:val="clear" w:color="auto" w:fill="auto"/>
            <w:noWrap/>
            <w:vAlign w:val="center"/>
          </w:tcPr>
          <w:p w14:paraId="02FFD1AE" w14:textId="77777777" w:rsidR="001E5505" w:rsidRPr="00DF7D9C" w:rsidRDefault="001E5505" w:rsidP="001E550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w:t>
            </w:r>
            <w:r w:rsidR="006F423B" w:rsidRPr="00DF7D9C">
              <w:rPr>
                <w:rFonts w:asciiTheme="majorHAnsi" w:eastAsia="Times New Roman" w:hAnsiTheme="majorHAnsi" w:cstheme="majorHAnsi"/>
                <w:bCs/>
                <w:iCs/>
                <w:szCs w:val="24"/>
                <w:lang w:val="hr-HR" w:eastAsia="hr-HR"/>
              </w:rPr>
              <w:t>lanirani</w:t>
            </w:r>
            <w:r w:rsidRPr="00DF7D9C">
              <w:rPr>
                <w:rFonts w:asciiTheme="majorHAnsi" w:eastAsia="Times New Roman" w:hAnsiTheme="majorHAnsi" w:cstheme="majorHAnsi"/>
                <w:bCs/>
                <w:iCs/>
                <w:szCs w:val="24"/>
                <w:lang w:val="hr-HR" w:eastAsia="hr-HR"/>
              </w:rPr>
              <w:t xml:space="preserve"> operativni ciljevi</w:t>
            </w:r>
          </w:p>
        </w:tc>
        <w:tc>
          <w:tcPr>
            <w:tcW w:w="7592" w:type="dxa"/>
            <w:gridSpan w:val="3"/>
            <w:shd w:val="clear" w:color="auto" w:fill="auto"/>
            <w:vAlign w:val="center"/>
          </w:tcPr>
          <w:p w14:paraId="2B1BB689" w14:textId="77777777" w:rsidR="001E5505" w:rsidRPr="00DF7D9C" w:rsidRDefault="001E5505" w:rsidP="008C1448">
            <w:pPr>
              <w:pStyle w:val="ListParagraph"/>
              <w:numPr>
                <w:ilvl w:val="0"/>
                <w:numId w:val="1"/>
              </w:numPr>
              <w:spacing w:after="0" w:line="240" w:lineRule="auto"/>
              <w:ind w:left="311"/>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Izrada komunikacijskog plana</w:t>
            </w:r>
          </w:p>
          <w:p w14:paraId="613673B2" w14:textId="77777777" w:rsidR="001E5505" w:rsidRPr="00DF7D9C" w:rsidRDefault="001E5505" w:rsidP="008C1448">
            <w:pPr>
              <w:pStyle w:val="ListParagraph"/>
              <w:numPr>
                <w:ilvl w:val="0"/>
                <w:numId w:val="1"/>
              </w:numPr>
              <w:spacing w:after="0" w:line="240" w:lineRule="auto"/>
              <w:ind w:left="311"/>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Uključenje što većeg broja institucija u NIPP događanja</w:t>
            </w:r>
          </w:p>
          <w:p w14:paraId="010160EA" w14:textId="77777777" w:rsidR="001E5505" w:rsidRPr="00DF7D9C" w:rsidRDefault="001E5505" w:rsidP="008C1448">
            <w:pPr>
              <w:pStyle w:val="ListParagraph"/>
              <w:numPr>
                <w:ilvl w:val="0"/>
                <w:numId w:val="1"/>
              </w:numPr>
              <w:spacing w:after="0" w:line="240" w:lineRule="auto"/>
              <w:ind w:left="311"/>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Osposobljavanje lokalnih promotora</w:t>
            </w:r>
          </w:p>
          <w:p w14:paraId="2CEF9E0B" w14:textId="77777777" w:rsidR="001E5505" w:rsidRPr="00DF7D9C" w:rsidRDefault="001E5505" w:rsidP="008C1448">
            <w:pPr>
              <w:pStyle w:val="ListParagraph"/>
              <w:numPr>
                <w:ilvl w:val="0"/>
                <w:numId w:val="1"/>
              </w:numPr>
              <w:spacing w:after="0" w:line="240" w:lineRule="auto"/>
              <w:ind w:left="311"/>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Povećanje broja subjekata NIPP-a koji prepoznaju dodatne vrijednosti koje NIPP donosi</w:t>
            </w:r>
          </w:p>
        </w:tc>
      </w:tr>
      <w:tr w:rsidR="006F423B" w:rsidRPr="00454565" w14:paraId="0DDBF03A" w14:textId="77777777" w:rsidTr="002C7AB6">
        <w:trPr>
          <w:trHeight w:val="292"/>
        </w:trPr>
        <w:tc>
          <w:tcPr>
            <w:tcW w:w="2047" w:type="dxa"/>
            <w:shd w:val="clear" w:color="auto" w:fill="auto"/>
            <w:noWrap/>
            <w:vAlign w:val="center"/>
          </w:tcPr>
          <w:p w14:paraId="2348B724" w14:textId="77777777" w:rsidR="006F423B" w:rsidRPr="00DF7D9C" w:rsidRDefault="006F423B" w:rsidP="001E550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Nadležna tijela</w:t>
            </w:r>
          </w:p>
        </w:tc>
        <w:tc>
          <w:tcPr>
            <w:tcW w:w="7592" w:type="dxa"/>
            <w:gridSpan w:val="3"/>
            <w:shd w:val="clear" w:color="auto" w:fill="auto"/>
            <w:vAlign w:val="center"/>
          </w:tcPr>
          <w:p w14:paraId="37A69CD9" w14:textId="77777777" w:rsidR="004B15B7" w:rsidRPr="00E5660E" w:rsidRDefault="00B13977" w:rsidP="00E5660E">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DGU (NKT) u suradnji sa subjektima sukladno Prilogu II. Strategije</w:t>
            </w:r>
          </w:p>
        </w:tc>
      </w:tr>
      <w:tr w:rsidR="00750CC6" w:rsidRPr="00454565" w14:paraId="61D0C422" w14:textId="77777777" w:rsidTr="001B373E">
        <w:trPr>
          <w:trHeight w:val="420"/>
        </w:trPr>
        <w:tc>
          <w:tcPr>
            <w:tcW w:w="2047" w:type="dxa"/>
            <w:vMerge w:val="restart"/>
            <w:shd w:val="clear" w:color="auto" w:fill="auto"/>
            <w:noWrap/>
            <w:vAlign w:val="center"/>
          </w:tcPr>
          <w:p w14:paraId="499B87CF" w14:textId="77777777" w:rsidR="00750CC6" w:rsidRPr="00DF7D9C"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Pokazatelji</w:t>
            </w:r>
          </w:p>
        </w:tc>
        <w:tc>
          <w:tcPr>
            <w:tcW w:w="3796" w:type="dxa"/>
            <w:shd w:val="clear" w:color="auto" w:fill="auto"/>
            <w:vAlign w:val="center"/>
          </w:tcPr>
          <w:p w14:paraId="6EB5E684" w14:textId="77777777" w:rsidR="00750CC6" w:rsidRPr="00DF7D9C" w:rsidRDefault="00750CC6" w:rsidP="00BC6671">
            <w:pPr>
              <w:spacing w:after="0" w:line="240" w:lineRule="auto"/>
              <w:rPr>
                <w:rFonts w:asciiTheme="majorHAnsi" w:eastAsia="Times New Roman" w:hAnsiTheme="majorHAnsi" w:cstheme="majorHAnsi"/>
                <w:bCs/>
                <w:iCs/>
                <w:szCs w:val="24"/>
                <w:lang w:val="hr-HR" w:eastAsia="hr-HR"/>
              </w:rPr>
            </w:pPr>
          </w:p>
        </w:tc>
        <w:tc>
          <w:tcPr>
            <w:tcW w:w="1265" w:type="dxa"/>
            <w:shd w:val="clear" w:color="auto" w:fill="auto"/>
            <w:vAlign w:val="center"/>
          </w:tcPr>
          <w:p w14:paraId="53593962" w14:textId="77777777" w:rsidR="00750CC6" w:rsidRPr="00DF7D9C"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Planirano</w:t>
            </w:r>
          </w:p>
        </w:tc>
        <w:tc>
          <w:tcPr>
            <w:tcW w:w="2531" w:type="dxa"/>
            <w:shd w:val="clear" w:color="auto" w:fill="auto"/>
            <w:vAlign w:val="center"/>
          </w:tcPr>
          <w:p w14:paraId="20FB3FF1" w14:textId="77777777" w:rsidR="00750CC6" w:rsidRPr="00DF7D9C"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Ostvareno</w:t>
            </w:r>
          </w:p>
        </w:tc>
      </w:tr>
      <w:tr w:rsidR="00750CC6" w:rsidRPr="00454565" w14:paraId="216BF45F" w14:textId="77777777" w:rsidTr="001B373E">
        <w:trPr>
          <w:trHeight w:val="420"/>
        </w:trPr>
        <w:tc>
          <w:tcPr>
            <w:tcW w:w="2047" w:type="dxa"/>
            <w:vMerge/>
            <w:shd w:val="clear" w:color="auto" w:fill="auto"/>
            <w:noWrap/>
            <w:vAlign w:val="center"/>
          </w:tcPr>
          <w:p w14:paraId="21014669"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p>
        </w:tc>
        <w:tc>
          <w:tcPr>
            <w:tcW w:w="3796" w:type="dxa"/>
            <w:shd w:val="clear" w:color="auto" w:fill="auto"/>
            <w:vAlign w:val="center"/>
          </w:tcPr>
          <w:p w14:paraId="48F6FFDD" w14:textId="77777777" w:rsidR="00750CC6" w:rsidRPr="004240FC" w:rsidRDefault="00750CC6" w:rsidP="004240FC">
            <w:pPr>
              <w:spacing w:after="0" w:line="240" w:lineRule="auto"/>
              <w:ind w:left="-49"/>
              <w:rPr>
                <w:rFonts w:asciiTheme="majorHAnsi" w:eastAsia="Times New Roman" w:hAnsiTheme="majorHAnsi" w:cstheme="majorHAnsi"/>
                <w:bCs/>
                <w:iCs/>
                <w:szCs w:val="24"/>
                <w:lang w:val="hr-HR" w:eastAsia="hr-HR"/>
              </w:rPr>
            </w:pPr>
            <w:r w:rsidRPr="004240FC">
              <w:rPr>
                <w:rFonts w:asciiTheme="majorHAnsi" w:eastAsia="Times New Roman" w:hAnsiTheme="majorHAnsi" w:cstheme="majorHAnsi"/>
                <w:bCs/>
                <w:iCs/>
                <w:szCs w:val="24"/>
                <w:lang w:val="hr-HR" w:eastAsia="hr-HR"/>
              </w:rPr>
              <w:t>Postoji komunikacijski plan</w:t>
            </w:r>
          </w:p>
        </w:tc>
        <w:tc>
          <w:tcPr>
            <w:tcW w:w="1265" w:type="dxa"/>
            <w:shd w:val="clear" w:color="auto" w:fill="auto"/>
            <w:vAlign w:val="center"/>
          </w:tcPr>
          <w:p w14:paraId="46C29355" w14:textId="77777777" w:rsidR="00750CC6" w:rsidRPr="00DF7D9C"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w:t>
            </w:r>
          </w:p>
        </w:tc>
        <w:tc>
          <w:tcPr>
            <w:tcW w:w="2531" w:type="dxa"/>
            <w:shd w:val="clear" w:color="auto" w:fill="auto"/>
            <w:vAlign w:val="center"/>
          </w:tcPr>
          <w:p w14:paraId="319AF9BF" w14:textId="77777777" w:rsidR="00750CC6" w:rsidRPr="00DF7D9C"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w:t>
            </w:r>
          </w:p>
        </w:tc>
      </w:tr>
      <w:tr w:rsidR="00750CC6" w:rsidRPr="00454565" w14:paraId="676D46D8" w14:textId="77777777" w:rsidTr="001B373E">
        <w:trPr>
          <w:trHeight w:val="420"/>
        </w:trPr>
        <w:tc>
          <w:tcPr>
            <w:tcW w:w="2047" w:type="dxa"/>
            <w:vMerge/>
            <w:shd w:val="clear" w:color="auto" w:fill="auto"/>
            <w:noWrap/>
            <w:vAlign w:val="center"/>
          </w:tcPr>
          <w:p w14:paraId="458AAE23"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p>
        </w:tc>
        <w:tc>
          <w:tcPr>
            <w:tcW w:w="3796" w:type="dxa"/>
            <w:shd w:val="clear" w:color="auto" w:fill="auto"/>
            <w:vAlign w:val="center"/>
          </w:tcPr>
          <w:p w14:paraId="74475572" w14:textId="77777777" w:rsidR="00750CC6" w:rsidRPr="004240FC" w:rsidRDefault="00750CC6" w:rsidP="004240FC">
            <w:pPr>
              <w:spacing w:after="0" w:line="240" w:lineRule="auto"/>
              <w:ind w:left="-49"/>
              <w:rPr>
                <w:rFonts w:asciiTheme="majorHAnsi" w:eastAsia="Times New Roman" w:hAnsiTheme="majorHAnsi" w:cstheme="majorHAnsi"/>
                <w:bCs/>
                <w:iCs/>
                <w:szCs w:val="24"/>
                <w:lang w:val="hr-HR" w:eastAsia="hr-HR"/>
              </w:rPr>
            </w:pPr>
            <w:r w:rsidRPr="004240FC">
              <w:rPr>
                <w:rFonts w:asciiTheme="majorHAnsi" w:eastAsia="Times New Roman" w:hAnsiTheme="majorHAnsi" w:cstheme="majorHAnsi"/>
                <w:bCs/>
                <w:iCs/>
                <w:szCs w:val="24"/>
                <w:lang w:val="hr-HR" w:eastAsia="hr-HR"/>
              </w:rPr>
              <w:t>Broj institucija koje sudjeluju na NIPP događanjima</w:t>
            </w:r>
          </w:p>
        </w:tc>
        <w:tc>
          <w:tcPr>
            <w:tcW w:w="1265" w:type="dxa"/>
            <w:shd w:val="clear" w:color="auto" w:fill="auto"/>
            <w:vAlign w:val="center"/>
          </w:tcPr>
          <w:p w14:paraId="6FA5E35B"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100</w:t>
            </w:r>
          </w:p>
        </w:tc>
        <w:tc>
          <w:tcPr>
            <w:tcW w:w="2531" w:type="dxa"/>
            <w:shd w:val="clear" w:color="auto" w:fill="auto"/>
            <w:vAlign w:val="center"/>
          </w:tcPr>
          <w:p w14:paraId="4A101E75" w14:textId="77777777" w:rsidR="00750CC6" w:rsidRDefault="005D586D"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5</w:t>
            </w:r>
            <w:r w:rsidR="00316A76">
              <w:rPr>
                <w:rFonts w:asciiTheme="majorHAnsi" w:eastAsia="Times New Roman" w:hAnsiTheme="majorHAnsi" w:cstheme="majorHAnsi"/>
                <w:bCs/>
                <w:iCs/>
                <w:szCs w:val="24"/>
                <w:lang w:val="hr-HR" w:eastAsia="hr-HR"/>
              </w:rPr>
              <w:t>5</w:t>
            </w:r>
          </w:p>
        </w:tc>
      </w:tr>
      <w:tr w:rsidR="00750CC6" w:rsidRPr="00454565" w14:paraId="3A7B5458" w14:textId="77777777" w:rsidTr="001B373E">
        <w:trPr>
          <w:trHeight w:val="420"/>
        </w:trPr>
        <w:tc>
          <w:tcPr>
            <w:tcW w:w="2047" w:type="dxa"/>
            <w:vMerge/>
            <w:shd w:val="clear" w:color="auto" w:fill="auto"/>
            <w:noWrap/>
            <w:vAlign w:val="center"/>
          </w:tcPr>
          <w:p w14:paraId="6643AC3A"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p>
        </w:tc>
        <w:tc>
          <w:tcPr>
            <w:tcW w:w="3796" w:type="dxa"/>
            <w:shd w:val="clear" w:color="auto" w:fill="auto"/>
            <w:vAlign w:val="center"/>
          </w:tcPr>
          <w:p w14:paraId="4D330C27" w14:textId="77777777" w:rsidR="00750CC6" w:rsidRPr="004240FC" w:rsidRDefault="00750CC6" w:rsidP="004240FC">
            <w:pPr>
              <w:spacing w:after="0" w:line="240" w:lineRule="auto"/>
              <w:ind w:left="-49"/>
              <w:rPr>
                <w:rFonts w:asciiTheme="majorHAnsi" w:eastAsia="Times New Roman" w:hAnsiTheme="majorHAnsi" w:cstheme="majorHAnsi"/>
                <w:bCs/>
                <w:iCs/>
                <w:szCs w:val="24"/>
                <w:lang w:val="hr-HR" w:eastAsia="hr-HR"/>
              </w:rPr>
            </w:pPr>
            <w:r w:rsidRPr="004240FC">
              <w:rPr>
                <w:rFonts w:asciiTheme="majorHAnsi" w:eastAsia="Times New Roman" w:hAnsiTheme="majorHAnsi" w:cstheme="majorHAnsi"/>
                <w:bCs/>
                <w:iCs/>
                <w:szCs w:val="24"/>
                <w:lang w:val="hr-HR" w:eastAsia="hr-HR"/>
              </w:rPr>
              <w:t>Broj županija koje imaju barem jednog lokalnog promotora</w:t>
            </w:r>
          </w:p>
        </w:tc>
        <w:tc>
          <w:tcPr>
            <w:tcW w:w="1265" w:type="dxa"/>
            <w:shd w:val="clear" w:color="auto" w:fill="auto"/>
            <w:vAlign w:val="center"/>
          </w:tcPr>
          <w:p w14:paraId="3A662144"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21</w:t>
            </w:r>
          </w:p>
        </w:tc>
        <w:tc>
          <w:tcPr>
            <w:tcW w:w="2531" w:type="dxa"/>
            <w:shd w:val="clear" w:color="auto" w:fill="auto"/>
            <w:vAlign w:val="center"/>
          </w:tcPr>
          <w:p w14:paraId="7B16F329"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21</w:t>
            </w:r>
          </w:p>
        </w:tc>
      </w:tr>
      <w:tr w:rsidR="00750CC6" w:rsidRPr="00454565" w14:paraId="5DA3197D" w14:textId="77777777" w:rsidTr="001B373E">
        <w:trPr>
          <w:trHeight w:val="420"/>
        </w:trPr>
        <w:tc>
          <w:tcPr>
            <w:tcW w:w="2047" w:type="dxa"/>
            <w:vMerge/>
            <w:shd w:val="clear" w:color="auto" w:fill="auto"/>
            <w:noWrap/>
            <w:vAlign w:val="center"/>
          </w:tcPr>
          <w:p w14:paraId="285F95E7"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p>
        </w:tc>
        <w:tc>
          <w:tcPr>
            <w:tcW w:w="3796" w:type="dxa"/>
            <w:shd w:val="clear" w:color="auto" w:fill="auto"/>
            <w:vAlign w:val="center"/>
          </w:tcPr>
          <w:p w14:paraId="760681E7" w14:textId="77777777" w:rsidR="00750CC6" w:rsidRPr="003A32B8" w:rsidRDefault="00750CC6" w:rsidP="004240FC">
            <w:pPr>
              <w:spacing w:after="0" w:line="240" w:lineRule="auto"/>
              <w:ind w:left="-49"/>
              <w:rPr>
                <w:rFonts w:asciiTheme="majorHAnsi" w:eastAsia="Times New Roman" w:hAnsiTheme="majorHAnsi" w:cstheme="majorHAnsi"/>
                <w:bCs/>
                <w:iCs/>
                <w:szCs w:val="24"/>
                <w:lang w:val="hr-HR" w:eastAsia="hr-HR"/>
              </w:rPr>
            </w:pPr>
            <w:r w:rsidRPr="003A32B8">
              <w:rPr>
                <w:rFonts w:asciiTheme="majorHAnsi" w:eastAsia="Times New Roman" w:hAnsiTheme="majorHAnsi" w:cstheme="majorHAnsi"/>
                <w:bCs/>
                <w:iCs/>
                <w:szCs w:val="24"/>
                <w:lang w:val="hr-HR" w:eastAsia="hr-HR"/>
              </w:rPr>
              <w:t>Broj subjekata NIPP-a koji su opisali dodatne vrijednosti stvorene kroz NIPP</w:t>
            </w:r>
          </w:p>
        </w:tc>
        <w:tc>
          <w:tcPr>
            <w:tcW w:w="1265" w:type="dxa"/>
            <w:shd w:val="clear" w:color="auto" w:fill="auto"/>
            <w:vAlign w:val="center"/>
          </w:tcPr>
          <w:p w14:paraId="72B26397"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15</w:t>
            </w:r>
          </w:p>
        </w:tc>
        <w:tc>
          <w:tcPr>
            <w:tcW w:w="2531" w:type="dxa"/>
            <w:shd w:val="clear" w:color="auto" w:fill="auto"/>
            <w:vAlign w:val="center"/>
          </w:tcPr>
          <w:p w14:paraId="40A38E9E" w14:textId="77777777" w:rsidR="00750CC6" w:rsidRDefault="00316A7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8</w:t>
            </w:r>
          </w:p>
        </w:tc>
      </w:tr>
      <w:tr w:rsidR="00750CC6" w:rsidRPr="00454565" w14:paraId="0F53C129" w14:textId="77777777" w:rsidTr="003A32B8">
        <w:trPr>
          <w:trHeight w:val="270"/>
        </w:trPr>
        <w:tc>
          <w:tcPr>
            <w:tcW w:w="2047" w:type="dxa"/>
            <w:vMerge/>
            <w:shd w:val="clear" w:color="auto" w:fill="auto"/>
            <w:noWrap/>
            <w:vAlign w:val="center"/>
          </w:tcPr>
          <w:p w14:paraId="5515C54C"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p>
        </w:tc>
        <w:tc>
          <w:tcPr>
            <w:tcW w:w="3796" w:type="dxa"/>
            <w:shd w:val="clear" w:color="auto" w:fill="auto"/>
            <w:vAlign w:val="center"/>
          </w:tcPr>
          <w:p w14:paraId="3F3EDC3C" w14:textId="77777777" w:rsidR="00750CC6" w:rsidRPr="004240FC" w:rsidRDefault="00750CC6" w:rsidP="004240FC">
            <w:pPr>
              <w:spacing w:after="0" w:line="240" w:lineRule="auto"/>
              <w:ind w:left="-49"/>
              <w:rPr>
                <w:rFonts w:asciiTheme="majorHAnsi" w:eastAsia="Times New Roman" w:hAnsiTheme="majorHAnsi" w:cstheme="majorHAnsi"/>
                <w:bCs/>
                <w:iCs/>
                <w:szCs w:val="24"/>
                <w:lang w:val="hr-HR" w:eastAsia="hr-HR"/>
              </w:rPr>
            </w:pPr>
            <w:r w:rsidRPr="004240FC">
              <w:rPr>
                <w:rFonts w:asciiTheme="majorHAnsi" w:eastAsia="Times New Roman" w:hAnsiTheme="majorHAnsi" w:cstheme="majorHAnsi"/>
                <w:bCs/>
                <w:iCs/>
                <w:szCs w:val="24"/>
                <w:lang w:val="hr-HR" w:eastAsia="hr-HR"/>
              </w:rPr>
              <w:t>Broj institucija korisnica koje su navele prednost od korištenja NIPP-a</w:t>
            </w:r>
          </w:p>
        </w:tc>
        <w:tc>
          <w:tcPr>
            <w:tcW w:w="1265" w:type="dxa"/>
            <w:shd w:val="clear" w:color="auto" w:fill="auto"/>
            <w:vAlign w:val="center"/>
          </w:tcPr>
          <w:p w14:paraId="6993CBA7"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50</w:t>
            </w:r>
          </w:p>
        </w:tc>
        <w:tc>
          <w:tcPr>
            <w:tcW w:w="2531" w:type="dxa"/>
            <w:shd w:val="clear" w:color="auto" w:fill="auto"/>
            <w:vAlign w:val="center"/>
          </w:tcPr>
          <w:p w14:paraId="65F8A80C" w14:textId="77777777" w:rsidR="00750CC6" w:rsidRDefault="00750CC6" w:rsidP="00BC6671">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5</w:t>
            </w:r>
          </w:p>
        </w:tc>
      </w:tr>
      <w:tr w:rsidR="001E5505" w:rsidRPr="00454565" w14:paraId="3F6E9F93" w14:textId="77777777" w:rsidTr="002C7AB6">
        <w:trPr>
          <w:trHeight w:val="1385"/>
        </w:trPr>
        <w:tc>
          <w:tcPr>
            <w:tcW w:w="2047" w:type="dxa"/>
            <w:shd w:val="clear" w:color="auto" w:fill="auto"/>
            <w:noWrap/>
            <w:vAlign w:val="center"/>
          </w:tcPr>
          <w:p w14:paraId="1B25EB7B" w14:textId="77777777" w:rsidR="001E5505" w:rsidRPr="004B15B7" w:rsidRDefault="001E5505" w:rsidP="00BC6671">
            <w:pPr>
              <w:spacing w:after="0" w:line="240" w:lineRule="auto"/>
              <w:rPr>
                <w:rFonts w:asciiTheme="majorHAnsi" w:eastAsia="Times New Roman" w:hAnsiTheme="majorHAnsi" w:cstheme="majorHAnsi"/>
                <w:bCs/>
                <w:iCs/>
                <w:color w:val="767171" w:themeColor="background2" w:themeShade="80"/>
                <w:szCs w:val="24"/>
                <w:lang w:val="hr-HR" w:eastAsia="hr-HR"/>
              </w:rPr>
            </w:pPr>
            <w:r w:rsidRPr="004B15B7">
              <w:rPr>
                <w:rFonts w:asciiTheme="majorHAnsi" w:eastAsia="Times New Roman" w:hAnsiTheme="majorHAnsi" w:cstheme="majorHAnsi"/>
                <w:bCs/>
                <w:iCs/>
                <w:szCs w:val="24"/>
                <w:lang w:val="hr-HR" w:eastAsia="hr-HR"/>
              </w:rPr>
              <w:t>Provedene aktivnosti</w:t>
            </w:r>
          </w:p>
        </w:tc>
        <w:tc>
          <w:tcPr>
            <w:tcW w:w="7592" w:type="dxa"/>
            <w:gridSpan w:val="3"/>
            <w:shd w:val="clear" w:color="auto" w:fill="auto"/>
            <w:vAlign w:val="center"/>
          </w:tcPr>
          <w:p w14:paraId="18C7A042" w14:textId="77777777" w:rsidR="00D31386" w:rsidRPr="004C3AEC" w:rsidRDefault="00D31386" w:rsidP="00046060">
            <w:pPr>
              <w:pStyle w:val="BodyText"/>
              <w:jc w:val="both"/>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U svrhu ispunjavanja operativnih ciljeva Strateškog cilja br. 1 u razdoblju 2017.-2020. Državna geodetska uprava je poduzela brojne radnje. Kao jedna od prvih stepenica u njihovom ostvarivanju, izrađen je Komunikacijski plan. Strategijom NIPP-a  komunikacijski plan je određen kao</w:t>
            </w:r>
            <w:r w:rsidR="00551278">
              <w:rPr>
                <w:rFonts w:asciiTheme="majorHAnsi" w:eastAsia="Times New Roman" w:hAnsiTheme="majorHAnsi" w:cstheme="majorHAnsi"/>
                <w:sz w:val="22"/>
                <w:lang w:val="hr-HR"/>
              </w:rPr>
              <w:t xml:space="preserve"> </w:t>
            </w:r>
            <w:r w:rsidRPr="004C3AEC">
              <w:rPr>
                <w:rFonts w:asciiTheme="majorHAnsi" w:eastAsia="Times New Roman" w:hAnsiTheme="majorHAnsi" w:cstheme="majorHAnsi"/>
                <w:sz w:val="22"/>
                <w:lang w:val="hr-HR"/>
              </w:rPr>
              <w:t>dokument u kojem se navode ciljane skupine aktivnosti širenja svijesti, kao i način organizacije, postup</w:t>
            </w:r>
            <w:r w:rsidR="00551278">
              <w:rPr>
                <w:rFonts w:asciiTheme="majorHAnsi" w:eastAsia="Times New Roman" w:hAnsiTheme="majorHAnsi" w:cstheme="majorHAnsi"/>
                <w:sz w:val="22"/>
                <w:lang w:val="hr-HR"/>
              </w:rPr>
              <w:t>ci i sredstva za provedbu iste</w:t>
            </w:r>
            <w:r w:rsidRPr="004C3AEC">
              <w:rPr>
                <w:rFonts w:asciiTheme="majorHAnsi" w:eastAsia="Times New Roman" w:hAnsiTheme="majorHAnsi" w:cstheme="majorHAnsi"/>
                <w:sz w:val="22"/>
                <w:lang w:val="hr-HR"/>
              </w:rPr>
              <w:t>. Komunikacijski</w:t>
            </w:r>
            <w:r w:rsidR="00AE7175">
              <w:rPr>
                <w:rFonts w:asciiTheme="majorHAnsi" w:eastAsia="Times New Roman" w:hAnsiTheme="majorHAnsi" w:cstheme="majorHAnsi"/>
                <w:sz w:val="22"/>
                <w:lang w:val="hr-HR"/>
              </w:rPr>
              <w:t>m</w:t>
            </w:r>
            <w:r w:rsidRPr="004C3AEC">
              <w:rPr>
                <w:rFonts w:asciiTheme="majorHAnsi" w:eastAsia="Times New Roman" w:hAnsiTheme="majorHAnsi" w:cstheme="majorHAnsi"/>
                <w:sz w:val="22"/>
                <w:lang w:val="hr-HR"/>
              </w:rPr>
              <w:t xml:space="preserve"> plan</w:t>
            </w:r>
            <w:r w:rsidR="00FE35DC">
              <w:rPr>
                <w:rFonts w:asciiTheme="majorHAnsi" w:eastAsia="Times New Roman" w:hAnsiTheme="majorHAnsi" w:cstheme="majorHAnsi"/>
                <w:sz w:val="22"/>
                <w:lang w:val="hr-HR"/>
              </w:rPr>
              <w:t>om p</w:t>
            </w:r>
            <w:r w:rsidRPr="004C3AEC">
              <w:rPr>
                <w:rFonts w:asciiTheme="majorHAnsi" w:eastAsia="Times New Roman" w:hAnsiTheme="majorHAnsi" w:cstheme="majorHAnsi"/>
                <w:sz w:val="22"/>
                <w:lang w:val="hr-HR"/>
              </w:rPr>
              <w:t xml:space="preserve">rikazano </w:t>
            </w:r>
            <w:r w:rsidR="00FE35DC">
              <w:rPr>
                <w:rFonts w:asciiTheme="majorHAnsi" w:eastAsia="Times New Roman" w:hAnsiTheme="majorHAnsi" w:cstheme="majorHAnsi"/>
                <w:sz w:val="22"/>
                <w:lang w:val="hr-HR"/>
              </w:rPr>
              <w:t xml:space="preserve">je </w:t>
            </w:r>
            <w:r w:rsidRPr="004C3AEC">
              <w:rPr>
                <w:rFonts w:asciiTheme="majorHAnsi" w:eastAsia="Times New Roman" w:hAnsiTheme="majorHAnsi" w:cstheme="majorHAnsi"/>
                <w:sz w:val="22"/>
                <w:lang w:val="hr-HR"/>
              </w:rPr>
              <w:t xml:space="preserve">trenutno stanje svijesti o NIPP-u, smjer budućeg razvoja te su definirane aktivnosti podizanja svijesti prema dionicima NIPP-a i komunikacijski ciljevi. </w:t>
            </w:r>
            <w:r w:rsidR="004C2962">
              <w:rPr>
                <w:rFonts w:asciiTheme="majorHAnsi" w:eastAsia="Times New Roman" w:hAnsiTheme="majorHAnsi" w:cstheme="majorHAnsi"/>
                <w:sz w:val="22"/>
                <w:lang w:val="hr-HR"/>
              </w:rPr>
              <w:t xml:space="preserve">Poruke iz navedenog akcijskog plana iskorištene su prilikom </w:t>
            </w:r>
            <w:r w:rsidR="004C2962">
              <w:rPr>
                <w:rFonts w:asciiTheme="majorHAnsi" w:eastAsia="Times New Roman" w:hAnsiTheme="majorHAnsi" w:cstheme="majorHAnsi"/>
                <w:sz w:val="22"/>
                <w:lang w:val="hr-HR"/>
              </w:rPr>
              <w:lastRenderedPageBreak/>
              <w:t>izradbe promotivnih materijala i brošura.</w:t>
            </w:r>
          </w:p>
          <w:p w14:paraId="3D5BBDE6" w14:textId="77777777" w:rsidR="00D31386" w:rsidRPr="004C3AEC" w:rsidRDefault="00D31386" w:rsidP="00046060">
            <w:pPr>
              <w:pStyle w:val="BodyText"/>
              <w:jc w:val="both"/>
              <w:rPr>
                <w:rFonts w:asciiTheme="majorHAnsi" w:eastAsia="Times New Roman" w:hAnsiTheme="majorHAnsi" w:cstheme="majorHAnsi"/>
                <w:sz w:val="22"/>
                <w:lang w:val="hr-HR"/>
              </w:rPr>
            </w:pPr>
          </w:p>
          <w:p w14:paraId="0390E3B2" w14:textId="77777777" w:rsidR="00DD5E8A" w:rsidRDefault="00DD5E8A" w:rsidP="00046060">
            <w:pPr>
              <w:pStyle w:val="BodyText"/>
              <w:jc w:val="both"/>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Držav</w:t>
            </w:r>
            <w:r w:rsidR="00B05B50">
              <w:rPr>
                <w:rFonts w:asciiTheme="majorHAnsi" w:eastAsia="Times New Roman" w:hAnsiTheme="majorHAnsi" w:cstheme="majorHAnsi"/>
                <w:sz w:val="22"/>
                <w:lang w:val="hr-HR"/>
              </w:rPr>
              <w:t xml:space="preserve">na geodetska uprava </w:t>
            </w:r>
            <w:r w:rsidRPr="004C3AEC">
              <w:rPr>
                <w:rFonts w:asciiTheme="majorHAnsi" w:eastAsia="Times New Roman" w:hAnsiTheme="majorHAnsi" w:cstheme="majorHAnsi"/>
                <w:sz w:val="22"/>
                <w:lang w:val="hr-HR"/>
              </w:rPr>
              <w:t xml:space="preserve">bila </w:t>
            </w:r>
            <w:r w:rsidR="00B05B50">
              <w:rPr>
                <w:rFonts w:asciiTheme="majorHAnsi" w:eastAsia="Times New Roman" w:hAnsiTheme="majorHAnsi" w:cstheme="majorHAnsi"/>
                <w:sz w:val="22"/>
                <w:lang w:val="hr-HR"/>
              </w:rPr>
              <w:t xml:space="preserve">je </w:t>
            </w:r>
            <w:r w:rsidRPr="004C3AEC">
              <w:rPr>
                <w:rFonts w:asciiTheme="majorHAnsi" w:eastAsia="Times New Roman" w:hAnsiTheme="majorHAnsi" w:cstheme="majorHAnsi"/>
                <w:sz w:val="22"/>
                <w:lang w:val="hr-HR"/>
              </w:rPr>
              <w:t>korisnik projekta „Jačanje kapaciteta za uspostavu NIPP-a“ koji je sufinancirala Europska unija iz Europskog socijalnog fonda, a provodio se u razdoblju od veljače 2019. do lipnja 2021. Osnovni je cilj ovog projekta ojačati postojeće kapacitete Državne geodetske uprave na razini Nacionalne kontaktne točke i lokalnih promotora te podignuti razinu znanja o NIPP-u na lokalnoj, regionalnoj i nacionalnoj razini s ciljem pružanja kvalitetnijih usluga.</w:t>
            </w:r>
          </w:p>
          <w:p w14:paraId="687BCD8C" w14:textId="77777777" w:rsidR="00FE35DC" w:rsidRPr="004C3AEC" w:rsidRDefault="00FE35DC" w:rsidP="00046060">
            <w:pPr>
              <w:pStyle w:val="BodyText"/>
              <w:jc w:val="both"/>
              <w:rPr>
                <w:rFonts w:asciiTheme="majorHAnsi" w:eastAsia="Times New Roman" w:hAnsiTheme="majorHAnsi" w:cstheme="majorHAnsi"/>
                <w:sz w:val="22"/>
                <w:lang w:val="hr-HR"/>
              </w:rPr>
            </w:pPr>
          </w:p>
          <w:p w14:paraId="7089624D" w14:textId="77777777" w:rsidR="00D31386" w:rsidRDefault="00DD5E8A" w:rsidP="00046060">
            <w:pPr>
              <w:pStyle w:val="BodyText"/>
              <w:jc w:val="both"/>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 xml:space="preserve">Sve navedene aktivnosti provedene su u svrhu ostvarivanja strateškog cilja br. 1: Zna se za NIPP i koristi koje on donosi. </w:t>
            </w:r>
            <w:r w:rsidR="00D31386" w:rsidRPr="004C3AEC">
              <w:rPr>
                <w:rFonts w:asciiTheme="majorHAnsi" w:eastAsia="Times New Roman" w:hAnsiTheme="majorHAnsi" w:cstheme="majorHAnsi"/>
                <w:sz w:val="22"/>
                <w:lang w:val="hr-HR"/>
              </w:rPr>
              <w:t xml:space="preserve">Kako bi se NIPP približio korisnicima u pogledu razumijevanja i dobrobiti koje on donosi, Državna geodetska uprava je u razdoblju 2017.-2020. održala tri konferencije „Dani IPP-a 2017.“, „Dani IPP-a 2018.“ i „Dani IPP-a 2019.“. Ove su konferencije okupile velik broj sudionika iz zemlje i svijeta, a sadržavale su razna predavanja iz područja infrastruktura prostornih podataka, ali i okrugle stolove na kojima se raspravljalo o aktualnim temama. Osim godišnjih konferencija, Državna geodetska uprava je organizirala i 8 radionica namijenjenih subjektima NIPP-a i/ili lokalnim promotorima. </w:t>
            </w:r>
            <w:r w:rsidR="004C2962">
              <w:rPr>
                <w:rFonts w:asciiTheme="majorHAnsi" w:eastAsia="Times New Roman" w:hAnsiTheme="majorHAnsi" w:cstheme="majorHAnsi"/>
                <w:sz w:val="22"/>
                <w:lang w:val="hr-HR"/>
              </w:rPr>
              <w:t xml:space="preserve">Radionice su stalni oblik komunikacije s dionicima, primarno subjektima te predstavljaju trajno sredstvo za prijenos znanja. U zadnjem nizu radionica, koje su realizirane u okviru </w:t>
            </w:r>
            <w:r w:rsidR="00B05B50">
              <w:rPr>
                <w:rFonts w:asciiTheme="majorHAnsi" w:eastAsia="Times New Roman" w:hAnsiTheme="majorHAnsi" w:cstheme="majorHAnsi"/>
                <w:sz w:val="22"/>
                <w:lang w:val="hr-HR"/>
              </w:rPr>
              <w:t xml:space="preserve">navedenog </w:t>
            </w:r>
            <w:r w:rsidR="004C2962">
              <w:rPr>
                <w:rFonts w:asciiTheme="majorHAnsi" w:eastAsia="Times New Roman" w:hAnsiTheme="majorHAnsi" w:cstheme="majorHAnsi"/>
                <w:sz w:val="22"/>
                <w:lang w:val="hr-HR"/>
              </w:rPr>
              <w:t xml:space="preserve">projekta financiranog iz </w:t>
            </w:r>
            <w:r>
              <w:rPr>
                <w:rFonts w:asciiTheme="majorHAnsi" w:eastAsia="Times New Roman" w:hAnsiTheme="majorHAnsi" w:cstheme="majorHAnsi"/>
                <w:sz w:val="22"/>
                <w:lang w:val="hr-HR"/>
              </w:rPr>
              <w:t>Europskoga</w:t>
            </w:r>
            <w:r w:rsidR="004C2962">
              <w:rPr>
                <w:rFonts w:asciiTheme="majorHAnsi" w:eastAsia="Times New Roman" w:hAnsiTheme="majorHAnsi" w:cstheme="majorHAnsi"/>
                <w:sz w:val="22"/>
                <w:lang w:val="hr-HR"/>
              </w:rPr>
              <w:t xml:space="preserve"> socijalnog fonda, a koji je započeo </w:t>
            </w:r>
            <w:r w:rsidR="00B05B50">
              <w:rPr>
                <w:rFonts w:asciiTheme="majorHAnsi" w:eastAsia="Times New Roman" w:hAnsiTheme="majorHAnsi" w:cstheme="majorHAnsi"/>
                <w:sz w:val="22"/>
                <w:lang w:val="hr-HR"/>
              </w:rPr>
              <w:t>2019</w:t>
            </w:r>
            <w:r w:rsidR="004C2962">
              <w:rPr>
                <w:rFonts w:asciiTheme="majorHAnsi" w:eastAsia="Times New Roman" w:hAnsiTheme="majorHAnsi" w:cstheme="majorHAnsi"/>
                <w:sz w:val="22"/>
                <w:lang w:val="hr-HR"/>
              </w:rPr>
              <w:t>. godine sudjelovalo je više od 200 različitih subjekata s lokalne razine.</w:t>
            </w:r>
            <w:r w:rsidR="00D9454B">
              <w:rPr>
                <w:rFonts w:asciiTheme="majorHAnsi" w:eastAsia="Times New Roman" w:hAnsiTheme="majorHAnsi" w:cstheme="majorHAnsi"/>
                <w:sz w:val="22"/>
                <w:lang w:val="hr-HR"/>
              </w:rPr>
              <w:t xml:space="preserve"> Isti je završio u lipnju 2021. godine. Iako pokazatelj za broj institucija koje sudjeluju na događajima u periodu Strategije nije ostvaren, 2021</w:t>
            </w:r>
            <w:r w:rsidR="00E50818">
              <w:rPr>
                <w:rFonts w:asciiTheme="majorHAnsi" w:eastAsia="Times New Roman" w:hAnsiTheme="majorHAnsi" w:cstheme="majorHAnsi"/>
                <w:sz w:val="22"/>
                <w:lang w:val="hr-HR"/>
              </w:rPr>
              <w:t>. godine</w:t>
            </w:r>
            <w:r w:rsidR="00D9454B">
              <w:rPr>
                <w:rFonts w:asciiTheme="majorHAnsi" w:eastAsia="Times New Roman" w:hAnsiTheme="majorHAnsi" w:cstheme="majorHAnsi"/>
                <w:sz w:val="22"/>
                <w:lang w:val="hr-HR"/>
              </w:rPr>
              <w:t xml:space="preserve"> višestruko je premašen</w:t>
            </w:r>
            <w:r w:rsidR="00E50818">
              <w:rPr>
                <w:rFonts w:asciiTheme="majorHAnsi" w:eastAsia="Times New Roman" w:hAnsiTheme="majorHAnsi" w:cstheme="majorHAnsi"/>
                <w:sz w:val="22"/>
                <w:lang w:val="hr-HR"/>
              </w:rPr>
              <w:t>, te je na radionicama učestvovalo više od 240 različitih institucija.</w:t>
            </w:r>
          </w:p>
          <w:p w14:paraId="618D1A22" w14:textId="77777777" w:rsidR="004C2962" w:rsidRPr="004C3AEC" w:rsidRDefault="004C2962" w:rsidP="00046060">
            <w:pPr>
              <w:pStyle w:val="BodyText"/>
              <w:jc w:val="both"/>
              <w:rPr>
                <w:rFonts w:asciiTheme="majorHAnsi" w:eastAsia="Times New Roman" w:hAnsiTheme="majorHAnsi" w:cstheme="majorHAnsi"/>
                <w:sz w:val="22"/>
                <w:lang w:val="hr-HR"/>
              </w:rPr>
            </w:pPr>
          </w:p>
          <w:p w14:paraId="7D30756C" w14:textId="77777777" w:rsidR="00D31386" w:rsidRDefault="00B05B50" w:rsidP="00046060">
            <w:pPr>
              <w:pStyle w:val="BodyText"/>
              <w:jc w:val="both"/>
              <w:rPr>
                <w:rFonts w:asciiTheme="majorHAnsi" w:eastAsia="Times New Roman" w:hAnsiTheme="majorHAnsi" w:cstheme="majorHAnsi"/>
                <w:sz w:val="22"/>
                <w:lang w:val="hr-HR"/>
              </w:rPr>
            </w:pPr>
            <w:r>
              <w:rPr>
                <w:rFonts w:asciiTheme="majorHAnsi" w:eastAsia="Times New Roman" w:hAnsiTheme="majorHAnsi" w:cstheme="majorHAnsi"/>
                <w:sz w:val="22"/>
                <w:lang w:val="hr-HR"/>
              </w:rPr>
              <w:t>Kako bi olakšala komunikaciju s</w:t>
            </w:r>
            <w:r w:rsidR="00AE7175">
              <w:rPr>
                <w:rFonts w:asciiTheme="majorHAnsi" w:eastAsia="Times New Roman" w:hAnsiTheme="majorHAnsi" w:cstheme="majorHAnsi"/>
                <w:sz w:val="22"/>
                <w:lang w:val="hr-HR"/>
              </w:rPr>
              <w:t>a</w:t>
            </w:r>
            <w:r>
              <w:rPr>
                <w:rFonts w:asciiTheme="majorHAnsi" w:eastAsia="Times New Roman" w:hAnsiTheme="majorHAnsi" w:cstheme="majorHAnsi"/>
                <w:sz w:val="22"/>
                <w:lang w:val="hr-HR"/>
              </w:rPr>
              <w:t xml:space="preserve"> subjektima s </w:t>
            </w:r>
            <w:r w:rsidR="009A0562">
              <w:rPr>
                <w:rFonts w:asciiTheme="majorHAnsi" w:eastAsia="Times New Roman" w:hAnsiTheme="majorHAnsi" w:cstheme="majorHAnsi"/>
                <w:sz w:val="22"/>
                <w:lang w:val="hr-HR"/>
              </w:rPr>
              <w:t>lokalne</w:t>
            </w:r>
            <w:r>
              <w:rPr>
                <w:rFonts w:asciiTheme="majorHAnsi" w:eastAsia="Times New Roman" w:hAnsiTheme="majorHAnsi" w:cstheme="majorHAnsi"/>
                <w:sz w:val="22"/>
                <w:lang w:val="hr-HR"/>
              </w:rPr>
              <w:t xml:space="preserve"> razine, </w:t>
            </w:r>
            <w:r w:rsidR="00D31386" w:rsidRPr="004C3AEC">
              <w:rPr>
                <w:rFonts w:asciiTheme="majorHAnsi" w:eastAsia="Times New Roman" w:hAnsiTheme="majorHAnsi" w:cstheme="majorHAnsi"/>
                <w:sz w:val="22"/>
                <w:lang w:val="hr-HR"/>
              </w:rPr>
              <w:t>Državna geodetska uprava u svojstvu Nacionalne kontaktne točke imenovala je po jednog službenika iz svakog područnog ureda za katastar i Grada Zagre</w:t>
            </w:r>
            <w:r>
              <w:rPr>
                <w:rFonts w:asciiTheme="majorHAnsi" w:eastAsia="Times New Roman" w:hAnsiTheme="majorHAnsi" w:cstheme="majorHAnsi"/>
                <w:sz w:val="22"/>
                <w:lang w:val="hr-HR"/>
              </w:rPr>
              <w:t>ba za lokalnog promotora NIPP-a.</w:t>
            </w:r>
            <w:r w:rsidR="00D31386" w:rsidRPr="004C3AEC">
              <w:rPr>
                <w:rFonts w:asciiTheme="majorHAnsi" w:eastAsia="Times New Roman" w:hAnsiTheme="majorHAnsi" w:cstheme="majorHAnsi"/>
                <w:sz w:val="22"/>
                <w:lang w:val="hr-HR"/>
              </w:rPr>
              <w:t> Lokalni promotori su sudjelovali i na posebnim radionicama u organizaciji Državne geodetske uprave kako bi mogli pružiti podršku NKT u aktivnostima širenja svijesti o NIPP-u te pružiti podršku zainteresiranim korisnicima u razumijevanju provedbe i uspostave NIPP-a u Republici Hrvatskoj.</w:t>
            </w:r>
          </w:p>
          <w:p w14:paraId="47159FBA" w14:textId="77777777" w:rsidR="00D76F04" w:rsidRDefault="00D76F04" w:rsidP="00046060">
            <w:pPr>
              <w:pStyle w:val="BodyText"/>
              <w:jc w:val="both"/>
              <w:rPr>
                <w:rFonts w:asciiTheme="majorHAnsi" w:eastAsia="Times New Roman" w:hAnsiTheme="majorHAnsi" w:cstheme="majorHAnsi"/>
                <w:sz w:val="22"/>
                <w:lang w:val="hr-HR"/>
              </w:rPr>
            </w:pPr>
          </w:p>
          <w:p w14:paraId="239D8733" w14:textId="77777777" w:rsidR="00D76F04" w:rsidRDefault="00D76F04" w:rsidP="00046060">
            <w:pPr>
              <w:pStyle w:val="BodyText"/>
              <w:jc w:val="both"/>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 xml:space="preserve">Kako bi dobila točne informacije o statusu NIPP-a i rezultatima provedbe, DGU je zatražila službeno očitovanje od subjekata NIPP-a iz Priloga II Strategije NIPP-a 2020. i Strateškog plana NIPP-a za razdoblje 2017.-2020. – Popis subjekata NIPP-a. Prema informacijama dostavljenim od strane subjekata vidljivo je da su potrebna dodatna ulaganja kako bi se ovaj strateški cilj ostvario u potpunosti. </w:t>
            </w:r>
            <w:r w:rsidR="00D31386" w:rsidRPr="004C3AEC">
              <w:rPr>
                <w:rFonts w:asciiTheme="majorHAnsi" w:eastAsia="Times New Roman" w:hAnsiTheme="majorHAnsi" w:cstheme="majorHAnsi"/>
                <w:sz w:val="22"/>
                <w:lang w:val="hr-HR"/>
              </w:rPr>
              <w:t xml:space="preserve">Za potrebe provođenja ovog Strateškog cilja, Državna geodetska uprava je provela u ljeto/jesen 2020. </w:t>
            </w:r>
            <w:r>
              <w:rPr>
                <w:rFonts w:asciiTheme="majorHAnsi" w:eastAsia="Times New Roman" w:hAnsiTheme="majorHAnsi" w:cstheme="majorHAnsi"/>
                <w:sz w:val="22"/>
                <w:lang w:val="hr-HR"/>
              </w:rPr>
              <w:t xml:space="preserve">i </w:t>
            </w:r>
            <w:r w:rsidR="00D31386" w:rsidRPr="004C3AEC">
              <w:rPr>
                <w:rFonts w:asciiTheme="majorHAnsi" w:eastAsia="Times New Roman" w:hAnsiTheme="majorHAnsi" w:cstheme="majorHAnsi"/>
                <w:sz w:val="22"/>
                <w:lang w:val="hr-HR"/>
              </w:rPr>
              <w:t xml:space="preserve">upitnik čiji su ispitanici bili predstavnici subjekata NIPP-a. Prema dobivenim odgovorima, </w:t>
            </w:r>
            <w:r w:rsidR="001F348C">
              <w:rPr>
                <w:rFonts w:asciiTheme="majorHAnsi" w:eastAsia="Times New Roman" w:hAnsiTheme="majorHAnsi" w:cstheme="majorHAnsi"/>
                <w:sz w:val="22"/>
                <w:lang w:val="hr-HR"/>
              </w:rPr>
              <w:t xml:space="preserve">neke od </w:t>
            </w:r>
            <w:r>
              <w:rPr>
                <w:rFonts w:asciiTheme="majorHAnsi" w:eastAsia="Times New Roman" w:hAnsiTheme="majorHAnsi" w:cstheme="majorHAnsi"/>
                <w:sz w:val="22"/>
                <w:lang w:val="hr-HR"/>
              </w:rPr>
              <w:t xml:space="preserve">prednosti koje su prepoznate od strane subjekata su sljedeće: </w:t>
            </w:r>
          </w:p>
          <w:p w14:paraId="6D588731" w14:textId="77777777" w:rsidR="00D76F04" w:rsidRDefault="00D76F04" w:rsidP="008C1448">
            <w:pPr>
              <w:pStyle w:val="BodyText"/>
              <w:numPr>
                <w:ilvl w:val="0"/>
                <w:numId w:val="11"/>
              </w:numPr>
              <w:ind w:left="676"/>
              <w:rPr>
                <w:rFonts w:asciiTheme="majorHAnsi" w:eastAsia="Times New Roman" w:hAnsiTheme="majorHAnsi" w:cstheme="majorHAnsi"/>
                <w:sz w:val="22"/>
                <w:lang w:val="hr-HR"/>
              </w:rPr>
            </w:pPr>
            <w:r w:rsidRPr="00D76F04">
              <w:rPr>
                <w:rFonts w:asciiTheme="majorHAnsi" w:eastAsia="Times New Roman" w:hAnsiTheme="majorHAnsi" w:cstheme="majorHAnsi"/>
                <w:sz w:val="22"/>
                <w:lang w:val="hr-HR"/>
              </w:rPr>
              <w:t>Transparentnost rada</w:t>
            </w:r>
          </w:p>
          <w:p w14:paraId="78475091" w14:textId="77777777" w:rsidR="00D76F04" w:rsidRPr="004C3AEC" w:rsidRDefault="00D76F04" w:rsidP="008C1448">
            <w:pPr>
              <w:pStyle w:val="BodyText"/>
              <w:numPr>
                <w:ilvl w:val="0"/>
                <w:numId w:val="11"/>
              </w:numPr>
              <w:ind w:left="676"/>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Jednostavan pronalazak podataka</w:t>
            </w:r>
          </w:p>
          <w:p w14:paraId="62EACEEC" w14:textId="77777777" w:rsidR="00D76F04" w:rsidRPr="004C3AEC" w:rsidRDefault="00D76F04" w:rsidP="008C1448">
            <w:pPr>
              <w:pStyle w:val="BodyText"/>
              <w:numPr>
                <w:ilvl w:val="0"/>
                <w:numId w:val="11"/>
              </w:numPr>
              <w:ind w:left="676"/>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Olakšani pronalazak informacija i sve informacije o prostoru na jednom mjestu</w:t>
            </w:r>
          </w:p>
          <w:p w14:paraId="65112480" w14:textId="77777777" w:rsidR="00D76F04" w:rsidRPr="004C3AEC" w:rsidRDefault="00D76F04" w:rsidP="008C1448">
            <w:pPr>
              <w:pStyle w:val="BodyText"/>
              <w:numPr>
                <w:ilvl w:val="0"/>
                <w:numId w:val="11"/>
              </w:numPr>
              <w:ind w:left="676"/>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Informacija o postojanju pojedinih skupova podataka</w:t>
            </w:r>
          </w:p>
          <w:p w14:paraId="5DB22A80" w14:textId="77777777" w:rsidR="00D76F04" w:rsidRPr="00D76F04" w:rsidRDefault="00D76F04" w:rsidP="008C1448">
            <w:pPr>
              <w:pStyle w:val="BodyText"/>
              <w:numPr>
                <w:ilvl w:val="0"/>
                <w:numId w:val="11"/>
              </w:numPr>
              <w:ind w:left="676"/>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 xml:space="preserve">Dostupnost </w:t>
            </w:r>
            <w:proofErr w:type="spellStart"/>
            <w:r w:rsidRPr="004C3AEC">
              <w:rPr>
                <w:rFonts w:asciiTheme="majorHAnsi" w:eastAsia="Times New Roman" w:hAnsiTheme="majorHAnsi" w:cstheme="majorHAnsi"/>
                <w:sz w:val="22"/>
                <w:lang w:val="hr-HR"/>
              </w:rPr>
              <w:t>metapodataka</w:t>
            </w:r>
            <w:proofErr w:type="spellEnd"/>
          </w:p>
          <w:p w14:paraId="17154ED6" w14:textId="77777777" w:rsidR="00D76F04" w:rsidRPr="00D76F04" w:rsidRDefault="00D76F04" w:rsidP="008C1448">
            <w:pPr>
              <w:pStyle w:val="BodyText"/>
              <w:numPr>
                <w:ilvl w:val="0"/>
                <w:numId w:val="11"/>
              </w:numPr>
              <w:ind w:left="676"/>
              <w:rPr>
                <w:rFonts w:asciiTheme="majorHAnsi" w:eastAsia="Times New Roman" w:hAnsiTheme="majorHAnsi" w:cstheme="majorHAnsi"/>
                <w:sz w:val="22"/>
                <w:lang w:val="hr-HR"/>
              </w:rPr>
            </w:pPr>
            <w:r w:rsidRPr="00D76F04">
              <w:rPr>
                <w:rFonts w:asciiTheme="majorHAnsi" w:eastAsia="Times New Roman" w:hAnsiTheme="majorHAnsi" w:cstheme="majorHAnsi"/>
                <w:sz w:val="22"/>
                <w:lang w:val="hr-HR"/>
              </w:rPr>
              <w:lastRenderedPageBreak/>
              <w:t>Ušteda resursa (vremena, novca) kroz korištenje izvora prostornih podataka drugih institucija</w:t>
            </w:r>
          </w:p>
          <w:p w14:paraId="277E3585" w14:textId="77777777" w:rsidR="00D76F04" w:rsidRPr="00D76F04" w:rsidRDefault="00D76F04" w:rsidP="008C1448">
            <w:pPr>
              <w:pStyle w:val="BodyText"/>
              <w:numPr>
                <w:ilvl w:val="0"/>
                <w:numId w:val="11"/>
              </w:numPr>
              <w:ind w:left="676"/>
              <w:rPr>
                <w:rFonts w:asciiTheme="majorHAnsi" w:eastAsia="Times New Roman" w:hAnsiTheme="majorHAnsi" w:cstheme="majorHAnsi"/>
                <w:sz w:val="22"/>
                <w:lang w:val="hr-HR"/>
              </w:rPr>
            </w:pPr>
            <w:r w:rsidRPr="00D76F04">
              <w:rPr>
                <w:rFonts w:asciiTheme="majorHAnsi" w:eastAsia="Times New Roman" w:hAnsiTheme="majorHAnsi" w:cstheme="majorHAnsi"/>
                <w:sz w:val="22"/>
                <w:lang w:val="hr-HR"/>
              </w:rPr>
              <w:t>Jačanje suradnje subjekata NIPP-a</w:t>
            </w:r>
          </w:p>
          <w:p w14:paraId="2FD7F7A0" w14:textId="77777777" w:rsidR="00D31386" w:rsidRPr="00D76F04" w:rsidRDefault="00D31386" w:rsidP="008C1448">
            <w:pPr>
              <w:pStyle w:val="BodyText"/>
              <w:numPr>
                <w:ilvl w:val="0"/>
                <w:numId w:val="11"/>
              </w:numPr>
              <w:ind w:left="676"/>
              <w:rPr>
                <w:rFonts w:asciiTheme="majorHAnsi" w:eastAsia="Times New Roman" w:hAnsiTheme="majorHAnsi" w:cstheme="majorHAnsi"/>
                <w:sz w:val="22"/>
                <w:lang w:val="hr-HR"/>
              </w:rPr>
            </w:pPr>
            <w:r w:rsidRPr="00D76F04">
              <w:rPr>
                <w:rFonts w:asciiTheme="majorHAnsi" w:eastAsia="Times New Roman" w:hAnsiTheme="majorHAnsi" w:cstheme="majorHAnsi"/>
                <w:sz w:val="22"/>
                <w:lang w:val="hr-HR"/>
              </w:rPr>
              <w:t>Edukacija i komunikacija s drugim subjektima</w:t>
            </w:r>
          </w:p>
          <w:p w14:paraId="0B437378" w14:textId="77777777" w:rsidR="00D31386" w:rsidRPr="004C3AEC" w:rsidRDefault="00D31386" w:rsidP="008C1448">
            <w:pPr>
              <w:pStyle w:val="BodyText"/>
              <w:numPr>
                <w:ilvl w:val="0"/>
                <w:numId w:val="11"/>
              </w:numPr>
              <w:ind w:left="676"/>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 xml:space="preserve">Dostupnost podataka putem </w:t>
            </w:r>
            <w:r w:rsidR="001F348C">
              <w:rPr>
                <w:rFonts w:asciiTheme="majorHAnsi" w:eastAsia="Times New Roman" w:hAnsiTheme="majorHAnsi" w:cstheme="majorHAnsi"/>
                <w:sz w:val="22"/>
                <w:lang w:val="hr-HR"/>
              </w:rPr>
              <w:t>mrežnih usluga</w:t>
            </w:r>
          </w:p>
          <w:p w14:paraId="35B17ADE" w14:textId="77777777" w:rsidR="00D31386" w:rsidRPr="004C3AEC" w:rsidRDefault="00D31386" w:rsidP="008C1448">
            <w:pPr>
              <w:pStyle w:val="BodyText"/>
              <w:numPr>
                <w:ilvl w:val="0"/>
                <w:numId w:val="11"/>
              </w:numPr>
              <w:ind w:left="676"/>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Brzi pronalazak podataka od interesa</w:t>
            </w:r>
          </w:p>
          <w:p w14:paraId="74C359EE" w14:textId="77777777" w:rsidR="00D31386" w:rsidRPr="004C3AEC" w:rsidRDefault="00D31386" w:rsidP="008C1448">
            <w:pPr>
              <w:pStyle w:val="BodyText"/>
              <w:numPr>
                <w:ilvl w:val="0"/>
                <w:numId w:val="11"/>
              </w:numPr>
              <w:ind w:left="676"/>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Brži dolazak do kvalitetnih prostornih podataka</w:t>
            </w:r>
          </w:p>
          <w:p w14:paraId="055E0403" w14:textId="77777777" w:rsidR="00D31386" w:rsidRPr="004C3AEC" w:rsidRDefault="00D31386" w:rsidP="008C1448">
            <w:pPr>
              <w:pStyle w:val="BodyText"/>
              <w:numPr>
                <w:ilvl w:val="0"/>
                <w:numId w:val="11"/>
              </w:numPr>
              <w:ind w:left="676"/>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Pregled podataka na jednom mjestu</w:t>
            </w:r>
          </w:p>
          <w:p w14:paraId="02CCA702" w14:textId="77777777" w:rsidR="00D31386" w:rsidRPr="004C3AEC" w:rsidRDefault="00D31386" w:rsidP="00D31386">
            <w:pPr>
              <w:pStyle w:val="BodyText"/>
              <w:rPr>
                <w:rFonts w:asciiTheme="majorHAnsi" w:eastAsia="Times New Roman" w:hAnsiTheme="majorHAnsi" w:cstheme="majorHAnsi"/>
                <w:sz w:val="20"/>
                <w:lang w:val="hr-HR"/>
              </w:rPr>
            </w:pPr>
          </w:p>
          <w:p w14:paraId="002FA8E2" w14:textId="77777777" w:rsidR="004C7F5D" w:rsidRPr="00046060" w:rsidRDefault="001F348C" w:rsidP="00046060">
            <w:pPr>
              <w:spacing w:after="0" w:line="240" w:lineRule="auto"/>
              <w:jc w:val="both"/>
              <w:rPr>
                <w:rFonts w:asciiTheme="majorHAnsi" w:eastAsia="Times New Roman" w:hAnsiTheme="majorHAnsi" w:cstheme="majorHAnsi"/>
                <w:bCs/>
                <w:iCs/>
                <w:color w:val="AEAAAA" w:themeColor="background2" w:themeShade="BF"/>
                <w:szCs w:val="24"/>
                <w:lang w:val="hr-HR" w:eastAsia="hr-HR"/>
              </w:rPr>
            </w:pPr>
            <w:r>
              <w:rPr>
                <w:rFonts w:asciiTheme="majorHAnsi" w:eastAsia="Times New Roman" w:hAnsiTheme="majorHAnsi" w:cstheme="majorHAnsi"/>
                <w:szCs w:val="24"/>
                <w:lang w:val="hr-HR"/>
              </w:rPr>
              <w:t>Navedeno ukazuje da, neovisno od činjenice da se aktivnosti na podizanju svijesti i z</w:t>
            </w:r>
            <w:r w:rsidR="00AE7175">
              <w:rPr>
                <w:rFonts w:asciiTheme="majorHAnsi" w:eastAsia="Times New Roman" w:hAnsiTheme="majorHAnsi" w:cstheme="majorHAnsi"/>
                <w:szCs w:val="24"/>
                <w:lang w:val="hr-HR"/>
              </w:rPr>
              <w:t>nanja o NIPP-u kontinuirano provode</w:t>
            </w:r>
            <w:r w:rsidR="00325879">
              <w:rPr>
                <w:rFonts w:asciiTheme="majorHAnsi" w:eastAsia="Times New Roman" w:hAnsiTheme="majorHAnsi" w:cstheme="majorHAnsi"/>
                <w:szCs w:val="24"/>
                <w:lang w:val="hr-HR"/>
              </w:rPr>
              <w:t xml:space="preserve"> od samih začetaka</w:t>
            </w:r>
            <w:r>
              <w:rPr>
                <w:rFonts w:asciiTheme="majorHAnsi" w:eastAsia="Times New Roman" w:hAnsiTheme="majorHAnsi" w:cstheme="majorHAnsi"/>
                <w:szCs w:val="24"/>
                <w:lang w:val="hr-HR"/>
              </w:rPr>
              <w:t>, navedene će i dalje biti od velike važnosti kako za NIPP zajednicu, tako i za sve sadašnje i buduće korisnike.</w:t>
            </w:r>
            <w:r w:rsidR="00325879">
              <w:rPr>
                <w:rFonts w:asciiTheme="majorHAnsi" w:eastAsia="Times New Roman" w:hAnsiTheme="majorHAnsi" w:cstheme="majorHAnsi"/>
                <w:szCs w:val="24"/>
                <w:lang w:val="hr-HR"/>
              </w:rPr>
              <w:t xml:space="preserve"> Sukladno tome navedeni cilj i dalje će biti predmet aktivnosti u NIPP-u.</w:t>
            </w:r>
          </w:p>
        </w:tc>
      </w:tr>
      <w:tr w:rsidR="006F423B" w:rsidRPr="00454565" w14:paraId="3E68666D" w14:textId="77777777" w:rsidTr="002C7AB6">
        <w:trPr>
          <w:trHeight w:val="292"/>
        </w:trPr>
        <w:tc>
          <w:tcPr>
            <w:tcW w:w="2047" w:type="dxa"/>
            <w:shd w:val="clear" w:color="auto" w:fill="auto"/>
            <w:noWrap/>
            <w:vAlign w:val="center"/>
          </w:tcPr>
          <w:p w14:paraId="11ECA118" w14:textId="77777777" w:rsidR="006F423B" w:rsidRPr="00DF7D9C" w:rsidRDefault="006F423B" w:rsidP="00BC6671">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lastRenderedPageBreak/>
              <w:t>Rok provedbe</w:t>
            </w:r>
          </w:p>
        </w:tc>
        <w:tc>
          <w:tcPr>
            <w:tcW w:w="7592" w:type="dxa"/>
            <w:gridSpan w:val="3"/>
            <w:shd w:val="clear" w:color="auto" w:fill="auto"/>
            <w:vAlign w:val="center"/>
          </w:tcPr>
          <w:p w14:paraId="3DECBF01" w14:textId="77777777" w:rsidR="006F423B" w:rsidRPr="00DF7D9C" w:rsidRDefault="00B13977" w:rsidP="00BC6671">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31.12.2020.</w:t>
            </w:r>
          </w:p>
        </w:tc>
      </w:tr>
      <w:tr w:rsidR="006F423B" w:rsidRPr="00454565" w14:paraId="2965A8DC" w14:textId="77777777" w:rsidTr="002C7AB6">
        <w:trPr>
          <w:trHeight w:val="292"/>
        </w:trPr>
        <w:tc>
          <w:tcPr>
            <w:tcW w:w="2047" w:type="dxa"/>
            <w:shd w:val="clear" w:color="auto" w:fill="auto"/>
            <w:noWrap/>
            <w:vAlign w:val="center"/>
          </w:tcPr>
          <w:p w14:paraId="462E2E00" w14:textId="77777777" w:rsidR="006F423B" w:rsidRPr="00DF7D9C" w:rsidRDefault="006F423B" w:rsidP="00BC6671">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Iznos planiranih i utrošenih sredstava</w:t>
            </w:r>
          </w:p>
        </w:tc>
        <w:tc>
          <w:tcPr>
            <w:tcW w:w="3796" w:type="dxa"/>
            <w:shd w:val="clear" w:color="auto" w:fill="auto"/>
            <w:vAlign w:val="center"/>
          </w:tcPr>
          <w:p w14:paraId="74A79DFF" w14:textId="77777777" w:rsidR="006F423B" w:rsidRDefault="006F423B" w:rsidP="00BC6671">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 xml:space="preserve">Planirano: </w:t>
            </w:r>
            <w:r w:rsidR="007D66E0">
              <w:rPr>
                <w:rFonts w:asciiTheme="majorHAnsi" w:eastAsia="Times New Roman" w:hAnsiTheme="majorHAnsi" w:cstheme="majorHAnsi"/>
                <w:bCs/>
                <w:iCs/>
                <w:szCs w:val="24"/>
                <w:lang w:val="hr-HR" w:eastAsia="hr-HR"/>
              </w:rPr>
              <w:t>245.000,00</w:t>
            </w:r>
            <w:r w:rsidRPr="00DF7D9C">
              <w:rPr>
                <w:rFonts w:asciiTheme="majorHAnsi" w:eastAsia="Times New Roman" w:hAnsiTheme="majorHAnsi" w:cstheme="majorHAnsi"/>
                <w:bCs/>
                <w:iCs/>
                <w:szCs w:val="24"/>
                <w:lang w:val="hr-HR" w:eastAsia="hr-HR"/>
              </w:rPr>
              <w:t xml:space="preserve"> kn</w:t>
            </w:r>
          </w:p>
          <w:p w14:paraId="5D654455" w14:textId="77777777" w:rsidR="004C7F5D" w:rsidRPr="00DC0E5D" w:rsidRDefault="004C7F5D" w:rsidP="009B69A7">
            <w:pPr>
              <w:pStyle w:val="BodyText"/>
              <w:rPr>
                <w:rFonts w:asciiTheme="majorHAnsi" w:eastAsia="Times New Roman" w:hAnsiTheme="majorHAnsi" w:cstheme="majorHAnsi"/>
                <w:color w:val="AEAAAA" w:themeColor="background2" w:themeShade="BF"/>
                <w:lang w:val="hr-HR"/>
              </w:rPr>
            </w:pPr>
          </w:p>
        </w:tc>
        <w:tc>
          <w:tcPr>
            <w:tcW w:w="3796" w:type="dxa"/>
            <w:gridSpan w:val="2"/>
            <w:shd w:val="clear" w:color="auto" w:fill="auto"/>
            <w:vAlign w:val="center"/>
          </w:tcPr>
          <w:p w14:paraId="10FB6519" w14:textId="77777777" w:rsidR="008C2B0E" w:rsidRPr="008E7BC1" w:rsidRDefault="006F423B" w:rsidP="00BC6671">
            <w:pPr>
              <w:spacing w:after="0" w:line="240" w:lineRule="auto"/>
              <w:rPr>
                <w:rFonts w:asciiTheme="majorHAnsi" w:eastAsia="Times New Roman" w:hAnsiTheme="majorHAnsi" w:cstheme="majorHAnsi"/>
                <w:bCs/>
                <w:iCs/>
                <w:color w:val="171717" w:themeColor="background2" w:themeShade="1A"/>
                <w:szCs w:val="24"/>
                <w:lang w:val="hr-HR" w:eastAsia="hr-HR"/>
              </w:rPr>
            </w:pPr>
            <w:r w:rsidRPr="008E7BC1">
              <w:rPr>
                <w:rFonts w:asciiTheme="majorHAnsi" w:eastAsia="Times New Roman" w:hAnsiTheme="majorHAnsi" w:cstheme="majorHAnsi"/>
                <w:bCs/>
                <w:iCs/>
                <w:color w:val="171717" w:themeColor="background2" w:themeShade="1A"/>
                <w:szCs w:val="24"/>
                <w:lang w:val="hr-HR" w:eastAsia="hr-HR"/>
              </w:rPr>
              <w:t xml:space="preserve">Utrošeno: </w:t>
            </w:r>
            <w:r w:rsidR="00A34BAB">
              <w:rPr>
                <w:rFonts w:asciiTheme="majorHAnsi" w:eastAsia="Times New Roman" w:hAnsiTheme="majorHAnsi" w:cstheme="majorHAnsi"/>
                <w:bCs/>
                <w:iCs/>
                <w:color w:val="171717" w:themeColor="background2" w:themeShade="1A"/>
                <w:szCs w:val="24"/>
                <w:lang w:val="hr-HR" w:eastAsia="hr-HR"/>
              </w:rPr>
              <w:t>378</w:t>
            </w:r>
            <w:r w:rsidR="008E7BC1">
              <w:rPr>
                <w:rFonts w:asciiTheme="majorHAnsi" w:eastAsia="Times New Roman" w:hAnsiTheme="majorHAnsi" w:cstheme="majorHAnsi"/>
                <w:bCs/>
                <w:iCs/>
                <w:color w:val="171717" w:themeColor="background2" w:themeShade="1A"/>
                <w:szCs w:val="24"/>
                <w:lang w:val="hr-HR" w:eastAsia="hr-HR"/>
              </w:rPr>
              <w:t>.5</w:t>
            </w:r>
            <w:r w:rsidR="008E7BC1" w:rsidRPr="008E7BC1">
              <w:rPr>
                <w:rFonts w:asciiTheme="majorHAnsi" w:eastAsia="Times New Roman" w:hAnsiTheme="majorHAnsi" w:cstheme="majorHAnsi"/>
                <w:bCs/>
                <w:iCs/>
                <w:color w:val="171717" w:themeColor="background2" w:themeShade="1A"/>
                <w:szCs w:val="24"/>
                <w:lang w:val="hr-HR" w:eastAsia="hr-HR"/>
              </w:rPr>
              <w:t>00,00kn</w:t>
            </w:r>
          </w:p>
          <w:p w14:paraId="176218FF" w14:textId="77777777" w:rsidR="004C7F5D" w:rsidRPr="00DC0E5D" w:rsidRDefault="004C7F5D" w:rsidP="009B69A7">
            <w:pPr>
              <w:pStyle w:val="BodyText"/>
              <w:rPr>
                <w:rFonts w:asciiTheme="majorHAnsi" w:eastAsia="Times New Roman" w:hAnsiTheme="majorHAnsi" w:cstheme="majorHAnsi"/>
                <w:color w:val="AEAAAA" w:themeColor="background2" w:themeShade="BF"/>
                <w:lang w:val="hr-HR"/>
              </w:rPr>
            </w:pPr>
          </w:p>
        </w:tc>
      </w:tr>
      <w:tr w:rsidR="00283903" w:rsidRPr="00454565" w14:paraId="2F330A96" w14:textId="77777777" w:rsidTr="002C7AB6">
        <w:trPr>
          <w:trHeight w:val="292"/>
        </w:trPr>
        <w:tc>
          <w:tcPr>
            <w:tcW w:w="2047" w:type="dxa"/>
            <w:shd w:val="clear" w:color="auto" w:fill="auto"/>
            <w:noWrap/>
            <w:vAlign w:val="center"/>
          </w:tcPr>
          <w:p w14:paraId="3C0BB891" w14:textId="77777777" w:rsidR="00283903" w:rsidRDefault="00283903" w:rsidP="00BC6671">
            <w:pPr>
              <w:spacing w:after="0" w:line="240" w:lineRule="auto"/>
              <w:rPr>
                <w:rFonts w:asciiTheme="majorHAnsi" w:eastAsia="Times New Roman" w:hAnsiTheme="majorHAnsi" w:cstheme="majorHAnsi"/>
                <w:bCs/>
                <w:iCs/>
                <w:color w:val="767171" w:themeColor="background2" w:themeShade="80"/>
                <w:szCs w:val="24"/>
                <w:lang w:val="hr-HR" w:eastAsia="hr-HR"/>
              </w:rPr>
            </w:pPr>
            <w:r w:rsidRPr="00DF7D9C">
              <w:rPr>
                <w:rFonts w:asciiTheme="majorHAnsi" w:eastAsia="Times New Roman" w:hAnsiTheme="majorHAnsi" w:cstheme="majorHAnsi"/>
                <w:bCs/>
                <w:iCs/>
                <w:szCs w:val="24"/>
                <w:lang w:val="hr-HR" w:eastAsia="hr-HR"/>
              </w:rPr>
              <w:t>Izvor sredstava</w:t>
            </w:r>
          </w:p>
        </w:tc>
        <w:tc>
          <w:tcPr>
            <w:tcW w:w="7592" w:type="dxa"/>
            <w:gridSpan w:val="3"/>
            <w:shd w:val="clear" w:color="auto" w:fill="auto"/>
            <w:vAlign w:val="center"/>
          </w:tcPr>
          <w:p w14:paraId="28B478CE" w14:textId="77777777" w:rsidR="00283903" w:rsidRPr="009B69A7" w:rsidRDefault="009B69A7" w:rsidP="00BC6671">
            <w:pPr>
              <w:spacing w:after="0" w:line="240" w:lineRule="auto"/>
              <w:rPr>
                <w:rFonts w:asciiTheme="majorHAnsi" w:eastAsia="Times New Roman" w:hAnsiTheme="majorHAnsi" w:cstheme="majorHAnsi"/>
                <w:bCs/>
                <w:iCs/>
                <w:color w:val="171717" w:themeColor="background2" w:themeShade="1A"/>
                <w:szCs w:val="24"/>
                <w:lang w:val="hr-HR" w:eastAsia="hr-HR"/>
              </w:rPr>
            </w:pPr>
            <w:r w:rsidRPr="009B69A7">
              <w:rPr>
                <w:rFonts w:asciiTheme="majorHAnsi" w:eastAsia="Times New Roman" w:hAnsiTheme="majorHAnsi" w:cstheme="majorHAnsi"/>
                <w:bCs/>
                <w:iCs/>
                <w:color w:val="171717" w:themeColor="background2" w:themeShade="1A"/>
                <w:szCs w:val="24"/>
                <w:lang w:val="hr-HR" w:eastAsia="hr-HR"/>
              </w:rPr>
              <w:t xml:space="preserve">Državni proračun </w:t>
            </w:r>
            <w:r w:rsidR="009A122B" w:rsidRPr="009B69A7">
              <w:rPr>
                <w:rFonts w:asciiTheme="majorHAnsi" w:eastAsia="Times New Roman" w:hAnsiTheme="majorHAnsi" w:cstheme="majorHAnsi"/>
                <w:bCs/>
                <w:iCs/>
                <w:color w:val="171717" w:themeColor="background2" w:themeShade="1A"/>
                <w:szCs w:val="24"/>
                <w:lang w:val="hr-HR" w:eastAsia="hr-HR"/>
              </w:rPr>
              <w:t>i nacionalna sredstva</w:t>
            </w:r>
            <w:r w:rsidRPr="009B69A7">
              <w:rPr>
                <w:rFonts w:asciiTheme="majorHAnsi" w:eastAsia="Times New Roman" w:hAnsiTheme="majorHAnsi" w:cstheme="majorHAnsi"/>
                <w:bCs/>
                <w:iCs/>
                <w:color w:val="171717" w:themeColor="background2" w:themeShade="1A"/>
                <w:szCs w:val="24"/>
                <w:lang w:val="hr-HR" w:eastAsia="hr-HR"/>
              </w:rPr>
              <w:t xml:space="preserve"> koja nisu u državnom proračunu.</w:t>
            </w:r>
          </w:p>
          <w:p w14:paraId="2E8B406B" w14:textId="77777777" w:rsidR="004C7F5D" w:rsidRPr="004C7F5D" w:rsidRDefault="004C7F5D" w:rsidP="00CB2EF3">
            <w:pPr>
              <w:pStyle w:val="BodyText"/>
              <w:rPr>
                <w:rFonts w:asciiTheme="majorHAnsi" w:eastAsia="Times New Roman" w:hAnsiTheme="majorHAnsi" w:cstheme="majorHAnsi"/>
                <w:color w:val="1F4E79" w:themeColor="accent1" w:themeShade="80"/>
                <w:lang w:val="hr-HR"/>
              </w:rPr>
            </w:pPr>
          </w:p>
        </w:tc>
      </w:tr>
      <w:tr w:rsidR="00454565" w:rsidRPr="00454565" w14:paraId="335037DD" w14:textId="77777777" w:rsidTr="002C7AB6">
        <w:trPr>
          <w:trHeight w:val="292"/>
        </w:trPr>
        <w:tc>
          <w:tcPr>
            <w:tcW w:w="2047" w:type="dxa"/>
            <w:shd w:val="clear" w:color="auto" w:fill="auto"/>
            <w:noWrap/>
            <w:vAlign w:val="center"/>
          </w:tcPr>
          <w:p w14:paraId="5429DB6E" w14:textId="77777777" w:rsidR="00454565" w:rsidRPr="00DF7D9C" w:rsidRDefault="0094231E" w:rsidP="00BC6671">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Rezultati provedbe</w:t>
            </w:r>
          </w:p>
        </w:tc>
        <w:tc>
          <w:tcPr>
            <w:tcW w:w="7592" w:type="dxa"/>
            <w:gridSpan w:val="3"/>
            <w:shd w:val="clear" w:color="auto" w:fill="auto"/>
            <w:vAlign w:val="center"/>
          </w:tcPr>
          <w:p w14:paraId="64D3FAFA" w14:textId="77777777" w:rsidR="00454565" w:rsidRPr="00DF7D9C" w:rsidRDefault="00E47C48" w:rsidP="00B13977">
            <w:pPr>
              <w:spacing w:after="0" w:line="240" w:lineRule="auto"/>
              <w:rPr>
                <w:rFonts w:asciiTheme="majorHAnsi" w:eastAsia="Times New Roman" w:hAnsiTheme="majorHAnsi" w:cstheme="majorHAnsi"/>
                <w:bCs/>
                <w:iCs/>
                <w:color w:val="AEAAAA" w:themeColor="background2" w:themeShade="BF"/>
                <w:szCs w:val="24"/>
                <w:lang w:val="hr-HR" w:eastAsia="hr-HR"/>
              </w:rPr>
            </w:pPr>
            <w:r>
              <w:rPr>
                <w:rFonts w:asciiTheme="majorHAnsi" w:eastAsia="Times New Roman" w:hAnsiTheme="majorHAnsi" w:cstheme="majorHAnsi"/>
                <w:bCs/>
                <w:iCs/>
                <w:szCs w:val="24"/>
                <w:lang w:val="hr-HR" w:eastAsia="hr-HR"/>
              </w:rPr>
              <w:t>Cilj je većinom ispunjen, te je daljnja provedba u tijeku.</w:t>
            </w:r>
          </w:p>
        </w:tc>
      </w:tr>
    </w:tbl>
    <w:p w14:paraId="277BFA78" w14:textId="77777777" w:rsidR="00BC6671" w:rsidRPr="00BC6671" w:rsidRDefault="00BC6671" w:rsidP="00BC6671">
      <w:pPr>
        <w:rPr>
          <w:lang w:val="hr-HR"/>
        </w:rPr>
      </w:pPr>
    </w:p>
    <w:p w14:paraId="5A44979F" w14:textId="77777777" w:rsidR="00D20C38" w:rsidRPr="00F80B02" w:rsidRDefault="00D20C38" w:rsidP="008C1448">
      <w:pPr>
        <w:pStyle w:val="Heading2"/>
        <w:numPr>
          <w:ilvl w:val="1"/>
          <w:numId w:val="2"/>
        </w:numPr>
        <w:rPr>
          <w:color w:val="auto"/>
        </w:rPr>
      </w:pPr>
      <w:bookmarkStart w:id="20" w:name="_Toc89761121"/>
      <w:r w:rsidRPr="00F80B02">
        <w:rPr>
          <w:color w:val="auto"/>
        </w:rPr>
        <w:t>Strateški cilj br. 2: Prostorni podaci i usluge su dostupni i zadovoljavaju potrebe korisnika</w:t>
      </w:r>
      <w:bookmarkEnd w:id="20"/>
    </w:p>
    <w:p w14:paraId="14799A49" w14:textId="77777777" w:rsidR="00422AF0" w:rsidRPr="00D01227" w:rsidRDefault="00422AF0" w:rsidP="00422AF0">
      <w:pPr>
        <w:rPr>
          <w:lang w:val="hr-HR"/>
        </w:rPr>
      </w:pPr>
    </w:p>
    <w:tbl>
      <w:tblPr>
        <w:tblW w:w="963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2295"/>
        <w:gridCol w:w="3708"/>
        <w:gridCol w:w="371"/>
        <w:gridCol w:w="1701"/>
        <w:gridCol w:w="1564"/>
      </w:tblGrid>
      <w:tr w:rsidR="00422AF0" w:rsidRPr="00D01227" w14:paraId="328351E4" w14:textId="77777777" w:rsidTr="00914E02">
        <w:trPr>
          <w:trHeight w:val="1585"/>
        </w:trPr>
        <w:tc>
          <w:tcPr>
            <w:tcW w:w="2295" w:type="dxa"/>
            <w:shd w:val="clear" w:color="auto" w:fill="auto"/>
            <w:noWrap/>
            <w:vAlign w:val="center"/>
          </w:tcPr>
          <w:p w14:paraId="1820AF19"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Planirani operativni ciljevi</w:t>
            </w:r>
          </w:p>
        </w:tc>
        <w:tc>
          <w:tcPr>
            <w:tcW w:w="7344" w:type="dxa"/>
            <w:gridSpan w:val="4"/>
            <w:shd w:val="clear" w:color="auto" w:fill="auto"/>
            <w:vAlign w:val="center"/>
          </w:tcPr>
          <w:p w14:paraId="38EA1DFC" w14:textId="77777777" w:rsidR="00422AF0" w:rsidRPr="00D01227" w:rsidRDefault="00422AF0" w:rsidP="00914E02">
            <w:pPr>
              <w:numPr>
                <w:ilvl w:val="0"/>
                <w:numId w:val="3"/>
              </w:numPr>
              <w:spacing w:after="0" w:line="240" w:lineRule="auto"/>
              <w:ind w:left="312"/>
              <w:contextualSpacing/>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Identificirani izvori prostornih podataka</w:t>
            </w:r>
          </w:p>
          <w:p w14:paraId="088D2677" w14:textId="77777777" w:rsidR="00422AF0" w:rsidRPr="00D01227" w:rsidRDefault="00422AF0" w:rsidP="00914E02">
            <w:pPr>
              <w:numPr>
                <w:ilvl w:val="0"/>
                <w:numId w:val="3"/>
              </w:numPr>
              <w:spacing w:after="0" w:line="240" w:lineRule="auto"/>
              <w:ind w:left="312"/>
              <w:contextualSpacing/>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 xml:space="preserve">Izvori prostornih podataka opisani </w:t>
            </w:r>
            <w:proofErr w:type="spellStart"/>
            <w:r w:rsidRPr="00D01227">
              <w:rPr>
                <w:rFonts w:asciiTheme="majorHAnsi" w:eastAsia="Times New Roman" w:hAnsiTheme="majorHAnsi" w:cstheme="majorHAnsi"/>
                <w:bCs/>
                <w:iCs/>
                <w:szCs w:val="24"/>
                <w:lang w:val="hr-HR" w:eastAsia="hr-HR"/>
              </w:rPr>
              <w:t>metapodacima</w:t>
            </w:r>
            <w:proofErr w:type="spellEnd"/>
          </w:p>
          <w:p w14:paraId="2A095582" w14:textId="77777777" w:rsidR="00422AF0" w:rsidRPr="00D01227" w:rsidRDefault="00422AF0" w:rsidP="00914E02">
            <w:pPr>
              <w:numPr>
                <w:ilvl w:val="0"/>
                <w:numId w:val="3"/>
              </w:numPr>
              <w:spacing w:after="0" w:line="240" w:lineRule="auto"/>
              <w:ind w:left="312"/>
              <w:contextualSpacing/>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Skupovi prostornih podataka koje je moguće pregledati</w:t>
            </w:r>
          </w:p>
          <w:p w14:paraId="4322317F" w14:textId="77777777" w:rsidR="00422AF0" w:rsidRPr="00D01227" w:rsidRDefault="00422AF0" w:rsidP="00914E02">
            <w:pPr>
              <w:numPr>
                <w:ilvl w:val="0"/>
                <w:numId w:val="3"/>
              </w:numPr>
              <w:spacing w:after="0" w:line="240" w:lineRule="auto"/>
              <w:ind w:left="312"/>
              <w:contextualSpacing/>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Skupovi prostornih podataka koje je moguće preuzeti</w:t>
            </w:r>
          </w:p>
          <w:p w14:paraId="11D1A3BD" w14:textId="77777777" w:rsidR="00422AF0" w:rsidRPr="00D01227" w:rsidRDefault="00422AF0" w:rsidP="00914E02">
            <w:pPr>
              <w:numPr>
                <w:ilvl w:val="0"/>
                <w:numId w:val="3"/>
              </w:numPr>
              <w:spacing w:after="0" w:line="240" w:lineRule="auto"/>
              <w:ind w:left="312"/>
              <w:contextualSpacing/>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Zadovoljstvo korisnika</w:t>
            </w:r>
          </w:p>
        </w:tc>
      </w:tr>
      <w:tr w:rsidR="00422AF0" w:rsidRPr="00D01227" w14:paraId="73EC8D99" w14:textId="77777777" w:rsidTr="00914E02">
        <w:trPr>
          <w:trHeight w:val="292"/>
        </w:trPr>
        <w:tc>
          <w:tcPr>
            <w:tcW w:w="2295" w:type="dxa"/>
            <w:shd w:val="clear" w:color="auto" w:fill="auto"/>
            <w:noWrap/>
            <w:vAlign w:val="center"/>
          </w:tcPr>
          <w:p w14:paraId="72E97590"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Nadležna tijela</w:t>
            </w:r>
          </w:p>
        </w:tc>
        <w:tc>
          <w:tcPr>
            <w:tcW w:w="7344" w:type="dxa"/>
            <w:gridSpan w:val="4"/>
            <w:shd w:val="clear" w:color="auto" w:fill="auto"/>
            <w:vAlign w:val="center"/>
          </w:tcPr>
          <w:p w14:paraId="014FF812"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DGU (NKT) u suradnji sa subjektima sukladno Prilogu II. Strategije</w:t>
            </w:r>
          </w:p>
        </w:tc>
      </w:tr>
      <w:tr w:rsidR="00422AF0" w:rsidRPr="00D01227" w14:paraId="558E2A79" w14:textId="77777777" w:rsidTr="00914E02">
        <w:trPr>
          <w:trHeight w:val="411"/>
        </w:trPr>
        <w:tc>
          <w:tcPr>
            <w:tcW w:w="2295" w:type="dxa"/>
            <w:vMerge w:val="restart"/>
            <w:shd w:val="clear" w:color="auto" w:fill="auto"/>
            <w:noWrap/>
            <w:vAlign w:val="center"/>
          </w:tcPr>
          <w:p w14:paraId="5501163A"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Pokazatelji</w:t>
            </w:r>
          </w:p>
        </w:tc>
        <w:tc>
          <w:tcPr>
            <w:tcW w:w="4079" w:type="dxa"/>
            <w:gridSpan w:val="2"/>
            <w:shd w:val="clear" w:color="auto" w:fill="auto"/>
            <w:vAlign w:val="center"/>
          </w:tcPr>
          <w:p w14:paraId="25BE86D0"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p>
        </w:tc>
        <w:tc>
          <w:tcPr>
            <w:tcW w:w="1701" w:type="dxa"/>
            <w:shd w:val="clear" w:color="auto" w:fill="auto"/>
            <w:vAlign w:val="center"/>
          </w:tcPr>
          <w:p w14:paraId="1946A7F1" w14:textId="77777777" w:rsidR="00422AF0" w:rsidRPr="00D01227" w:rsidRDefault="00422AF0" w:rsidP="00914E02">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Planirano</w:t>
            </w:r>
          </w:p>
        </w:tc>
        <w:tc>
          <w:tcPr>
            <w:tcW w:w="1564" w:type="dxa"/>
            <w:shd w:val="clear" w:color="auto" w:fill="auto"/>
            <w:vAlign w:val="center"/>
          </w:tcPr>
          <w:p w14:paraId="46A57BE0" w14:textId="77777777" w:rsidR="00422AF0" w:rsidRPr="00D01227" w:rsidRDefault="00422AF0" w:rsidP="00914E02">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Ostvareno</w:t>
            </w:r>
          </w:p>
        </w:tc>
      </w:tr>
      <w:tr w:rsidR="00422AF0" w:rsidRPr="00D01227" w14:paraId="143B54A0" w14:textId="77777777" w:rsidTr="00914E02">
        <w:trPr>
          <w:trHeight w:val="292"/>
        </w:trPr>
        <w:tc>
          <w:tcPr>
            <w:tcW w:w="2295" w:type="dxa"/>
            <w:vMerge/>
            <w:shd w:val="clear" w:color="auto" w:fill="auto"/>
            <w:noWrap/>
            <w:vAlign w:val="center"/>
          </w:tcPr>
          <w:p w14:paraId="4A004597"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p>
        </w:tc>
        <w:tc>
          <w:tcPr>
            <w:tcW w:w="4079" w:type="dxa"/>
            <w:gridSpan w:val="2"/>
            <w:shd w:val="clear" w:color="auto" w:fill="auto"/>
            <w:vAlign w:val="center"/>
          </w:tcPr>
          <w:p w14:paraId="077A7F56" w14:textId="77777777" w:rsidR="00422AF0" w:rsidRPr="004135C2" w:rsidRDefault="00422AF0" w:rsidP="00914E02">
            <w:pPr>
              <w:spacing w:after="0" w:line="240" w:lineRule="auto"/>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Broj identificiranih skupova prostornih podataka</w:t>
            </w:r>
          </w:p>
        </w:tc>
        <w:tc>
          <w:tcPr>
            <w:tcW w:w="1701" w:type="dxa"/>
            <w:shd w:val="clear" w:color="auto" w:fill="auto"/>
            <w:vAlign w:val="center"/>
          </w:tcPr>
          <w:p w14:paraId="0173B2AE" w14:textId="77777777" w:rsidR="00422AF0" w:rsidRPr="00D01227" w:rsidRDefault="00422AF0" w:rsidP="00914E02">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300</w:t>
            </w:r>
          </w:p>
        </w:tc>
        <w:tc>
          <w:tcPr>
            <w:tcW w:w="1564" w:type="dxa"/>
            <w:shd w:val="clear" w:color="auto" w:fill="auto"/>
            <w:vAlign w:val="center"/>
          </w:tcPr>
          <w:p w14:paraId="4E9A65AC" w14:textId="77777777" w:rsidR="00422AF0" w:rsidRPr="00D01227" w:rsidRDefault="00422AF0" w:rsidP="00914E02">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630</w:t>
            </w:r>
          </w:p>
        </w:tc>
      </w:tr>
      <w:tr w:rsidR="00422AF0" w:rsidRPr="00D01227" w14:paraId="691D6A2F" w14:textId="77777777" w:rsidTr="00914E02">
        <w:trPr>
          <w:trHeight w:val="292"/>
        </w:trPr>
        <w:tc>
          <w:tcPr>
            <w:tcW w:w="2295" w:type="dxa"/>
            <w:vMerge/>
            <w:shd w:val="clear" w:color="auto" w:fill="auto"/>
            <w:noWrap/>
            <w:vAlign w:val="center"/>
          </w:tcPr>
          <w:p w14:paraId="432A3499"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p>
        </w:tc>
        <w:tc>
          <w:tcPr>
            <w:tcW w:w="4079" w:type="dxa"/>
            <w:gridSpan w:val="2"/>
            <w:shd w:val="clear" w:color="auto" w:fill="auto"/>
            <w:vAlign w:val="center"/>
          </w:tcPr>
          <w:p w14:paraId="4530AD72" w14:textId="77777777" w:rsidR="00422AF0" w:rsidRPr="004135C2" w:rsidRDefault="00422AF0" w:rsidP="00914E02">
            <w:pPr>
              <w:spacing w:after="0" w:line="240" w:lineRule="auto"/>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 xml:space="preserve">Broj izvora prostornih podataka opisanih </w:t>
            </w:r>
            <w:proofErr w:type="spellStart"/>
            <w:r w:rsidRPr="004135C2">
              <w:rPr>
                <w:rFonts w:asciiTheme="majorHAnsi" w:eastAsia="Times New Roman" w:hAnsiTheme="majorHAnsi" w:cstheme="majorHAnsi"/>
                <w:bCs/>
                <w:iCs/>
                <w:szCs w:val="24"/>
                <w:lang w:val="hr-HR" w:eastAsia="hr-HR"/>
              </w:rPr>
              <w:t>metapodacima</w:t>
            </w:r>
            <w:proofErr w:type="spellEnd"/>
            <w:r w:rsidRPr="004135C2">
              <w:rPr>
                <w:rFonts w:asciiTheme="majorHAnsi" w:eastAsia="Times New Roman" w:hAnsiTheme="majorHAnsi" w:cstheme="majorHAnsi"/>
                <w:bCs/>
                <w:iCs/>
                <w:szCs w:val="24"/>
                <w:lang w:val="hr-HR" w:eastAsia="hr-HR"/>
              </w:rPr>
              <w:t xml:space="preserve"> na </w:t>
            </w:r>
            <w:proofErr w:type="spellStart"/>
            <w:r w:rsidRPr="004135C2">
              <w:rPr>
                <w:rFonts w:asciiTheme="majorHAnsi" w:eastAsia="Times New Roman" w:hAnsiTheme="majorHAnsi" w:cstheme="majorHAnsi"/>
                <w:bCs/>
                <w:iCs/>
                <w:szCs w:val="24"/>
                <w:lang w:val="hr-HR" w:eastAsia="hr-HR"/>
              </w:rPr>
              <w:t>Geoportalu</w:t>
            </w:r>
            <w:proofErr w:type="spellEnd"/>
            <w:r w:rsidRPr="004135C2">
              <w:rPr>
                <w:rFonts w:asciiTheme="majorHAnsi" w:eastAsia="Times New Roman" w:hAnsiTheme="majorHAnsi" w:cstheme="majorHAnsi"/>
                <w:bCs/>
                <w:iCs/>
                <w:szCs w:val="24"/>
                <w:lang w:val="hr-HR" w:eastAsia="hr-HR"/>
              </w:rPr>
              <w:t xml:space="preserve"> NIPP-a</w:t>
            </w:r>
          </w:p>
        </w:tc>
        <w:tc>
          <w:tcPr>
            <w:tcW w:w="1701" w:type="dxa"/>
            <w:shd w:val="clear" w:color="auto" w:fill="auto"/>
            <w:vAlign w:val="center"/>
          </w:tcPr>
          <w:p w14:paraId="777ABC69" w14:textId="77777777" w:rsidR="00422AF0" w:rsidRPr="004135C2" w:rsidRDefault="00422AF0" w:rsidP="00914E02">
            <w:pPr>
              <w:spacing w:after="0" w:line="240" w:lineRule="auto"/>
              <w:jc w:val="center"/>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800</w:t>
            </w:r>
          </w:p>
        </w:tc>
        <w:tc>
          <w:tcPr>
            <w:tcW w:w="1564" w:type="dxa"/>
            <w:shd w:val="clear" w:color="auto" w:fill="auto"/>
            <w:vAlign w:val="center"/>
          </w:tcPr>
          <w:p w14:paraId="3A9B0BB8" w14:textId="77777777" w:rsidR="00422AF0" w:rsidRPr="004135C2" w:rsidRDefault="00422AF0" w:rsidP="00914E02">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459</w:t>
            </w:r>
          </w:p>
        </w:tc>
      </w:tr>
      <w:tr w:rsidR="00422AF0" w:rsidRPr="00D01227" w14:paraId="40A1EFE3" w14:textId="77777777" w:rsidTr="00914E02">
        <w:trPr>
          <w:trHeight w:val="292"/>
        </w:trPr>
        <w:tc>
          <w:tcPr>
            <w:tcW w:w="2295" w:type="dxa"/>
            <w:vMerge/>
            <w:shd w:val="clear" w:color="auto" w:fill="auto"/>
            <w:noWrap/>
            <w:vAlign w:val="center"/>
          </w:tcPr>
          <w:p w14:paraId="287F6CD6"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p>
        </w:tc>
        <w:tc>
          <w:tcPr>
            <w:tcW w:w="4079" w:type="dxa"/>
            <w:gridSpan w:val="2"/>
            <w:shd w:val="clear" w:color="auto" w:fill="auto"/>
            <w:vAlign w:val="center"/>
          </w:tcPr>
          <w:p w14:paraId="3B7F0677" w14:textId="77777777" w:rsidR="00422AF0" w:rsidRPr="004135C2" w:rsidRDefault="00422AF0" w:rsidP="00914E02">
            <w:pPr>
              <w:pStyle w:val="ListParagraph"/>
              <w:spacing w:after="0" w:line="240" w:lineRule="auto"/>
              <w:ind w:left="-4"/>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Broj skupova prostornih podataka koje je moguće pregledati</w:t>
            </w:r>
          </w:p>
        </w:tc>
        <w:tc>
          <w:tcPr>
            <w:tcW w:w="1701" w:type="dxa"/>
            <w:shd w:val="clear" w:color="auto" w:fill="auto"/>
            <w:vAlign w:val="center"/>
          </w:tcPr>
          <w:p w14:paraId="1327C9F7" w14:textId="77777777" w:rsidR="00422AF0" w:rsidRPr="004135C2" w:rsidRDefault="00422AF0" w:rsidP="00914E02">
            <w:pPr>
              <w:spacing w:after="0" w:line="240" w:lineRule="auto"/>
              <w:jc w:val="center"/>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270</w:t>
            </w:r>
          </w:p>
        </w:tc>
        <w:tc>
          <w:tcPr>
            <w:tcW w:w="1564" w:type="dxa"/>
            <w:shd w:val="clear" w:color="auto" w:fill="auto"/>
            <w:vAlign w:val="center"/>
          </w:tcPr>
          <w:p w14:paraId="787BCE30" w14:textId="77777777" w:rsidR="00422AF0" w:rsidRPr="004135C2" w:rsidRDefault="00422AF0" w:rsidP="00914E02">
            <w:pPr>
              <w:spacing w:after="0" w:line="240" w:lineRule="auto"/>
              <w:jc w:val="center"/>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117</w:t>
            </w:r>
          </w:p>
        </w:tc>
      </w:tr>
      <w:tr w:rsidR="00422AF0" w:rsidRPr="00D01227" w14:paraId="6D124D3A" w14:textId="77777777" w:rsidTr="00914E02">
        <w:trPr>
          <w:trHeight w:val="292"/>
        </w:trPr>
        <w:tc>
          <w:tcPr>
            <w:tcW w:w="2295" w:type="dxa"/>
            <w:vMerge/>
            <w:shd w:val="clear" w:color="auto" w:fill="auto"/>
            <w:noWrap/>
            <w:vAlign w:val="center"/>
          </w:tcPr>
          <w:p w14:paraId="1F7CB966"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p>
        </w:tc>
        <w:tc>
          <w:tcPr>
            <w:tcW w:w="4079" w:type="dxa"/>
            <w:gridSpan w:val="2"/>
            <w:shd w:val="clear" w:color="auto" w:fill="auto"/>
            <w:vAlign w:val="center"/>
          </w:tcPr>
          <w:p w14:paraId="0EE1410B" w14:textId="77777777" w:rsidR="00422AF0" w:rsidRPr="004135C2" w:rsidRDefault="00422AF0" w:rsidP="00914E02">
            <w:pPr>
              <w:pStyle w:val="ListParagraph"/>
              <w:spacing w:after="0" w:line="240" w:lineRule="auto"/>
              <w:ind w:left="0"/>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Broj skupova podataka koje je moguće preuzeti</w:t>
            </w:r>
          </w:p>
        </w:tc>
        <w:tc>
          <w:tcPr>
            <w:tcW w:w="1701" w:type="dxa"/>
            <w:shd w:val="clear" w:color="auto" w:fill="auto"/>
            <w:vAlign w:val="center"/>
          </w:tcPr>
          <w:p w14:paraId="7289054E" w14:textId="77777777" w:rsidR="00422AF0" w:rsidRPr="004135C2" w:rsidRDefault="00422AF0" w:rsidP="00914E02">
            <w:pPr>
              <w:spacing w:after="0" w:line="240" w:lineRule="auto"/>
              <w:jc w:val="center"/>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270</w:t>
            </w:r>
          </w:p>
        </w:tc>
        <w:tc>
          <w:tcPr>
            <w:tcW w:w="1564" w:type="dxa"/>
            <w:shd w:val="clear" w:color="auto" w:fill="auto"/>
            <w:vAlign w:val="center"/>
          </w:tcPr>
          <w:p w14:paraId="0D9D7807" w14:textId="77777777" w:rsidR="00422AF0" w:rsidRPr="004135C2" w:rsidRDefault="00422AF0" w:rsidP="00914E02">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70</w:t>
            </w:r>
          </w:p>
        </w:tc>
      </w:tr>
      <w:tr w:rsidR="00422AF0" w:rsidRPr="00D01227" w14:paraId="23BA8568" w14:textId="77777777" w:rsidTr="00914E02">
        <w:trPr>
          <w:trHeight w:val="292"/>
        </w:trPr>
        <w:tc>
          <w:tcPr>
            <w:tcW w:w="2295" w:type="dxa"/>
            <w:vMerge/>
            <w:shd w:val="clear" w:color="auto" w:fill="auto"/>
            <w:noWrap/>
            <w:vAlign w:val="center"/>
          </w:tcPr>
          <w:p w14:paraId="72299C1C"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p>
        </w:tc>
        <w:tc>
          <w:tcPr>
            <w:tcW w:w="4079" w:type="dxa"/>
            <w:gridSpan w:val="2"/>
            <w:shd w:val="clear" w:color="auto" w:fill="auto"/>
            <w:vAlign w:val="center"/>
          </w:tcPr>
          <w:p w14:paraId="4156C9B2" w14:textId="77777777" w:rsidR="00422AF0" w:rsidRPr="004135C2" w:rsidRDefault="00422AF0" w:rsidP="00914E02">
            <w:pPr>
              <w:spacing w:after="0" w:line="240" w:lineRule="auto"/>
              <w:rPr>
                <w:rFonts w:asciiTheme="majorHAnsi" w:eastAsia="Times New Roman" w:hAnsiTheme="majorHAnsi" w:cstheme="majorHAnsi"/>
                <w:bCs/>
                <w:iCs/>
                <w:szCs w:val="24"/>
                <w:lang w:val="hr-HR" w:eastAsia="hr-HR"/>
              </w:rPr>
            </w:pPr>
            <w:r w:rsidRPr="004135C2">
              <w:rPr>
                <w:rFonts w:asciiTheme="majorHAnsi" w:eastAsia="Times New Roman" w:hAnsiTheme="majorHAnsi" w:cstheme="majorHAnsi"/>
                <w:bCs/>
                <w:iCs/>
                <w:szCs w:val="24"/>
                <w:lang w:val="hr-HR" w:eastAsia="hr-HR"/>
              </w:rPr>
              <w:t>Postotak zadovoljnih korisnika</w:t>
            </w:r>
          </w:p>
        </w:tc>
        <w:tc>
          <w:tcPr>
            <w:tcW w:w="1701" w:type="dxa"/>
            <w:shd w:val="clear" w:color="auto" w:fill="auto"/>
            <w:vAlign w:val="center"/>
          </w:tcPr>
          <w:p w14:paraId="39847E51" w14:textId="77777777" w:rsidR="00422AF0" w:rsidRPr="00D01227" w:rsidRDefault="00422AF0" w:rsidP="00914E02">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95%</w:t>
            </w:r>
          </w:p>
        </w:tc>
        <w:tc>
          <w:tcPr>
            <w:tcW w:w="1564" w:type="dxa"/>
            <w:shd w:val="clear" w:color="auto" w:fill="auto"/>
            <w:vAlign w:val="center"/>
          </w:tcPr>
          <w:p w14:paraId="2AEEBC4C" w14:textId="77777777" w:rsidR="00422AF0" w:rsidRPr="00D01227" w:rsidRDefault="00CA3CE8" w:rsidP="00914E02">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95</w:t>
            </w:r>
            <w:r w:rsidR="00422AF0">
              <w:rPr>
                <w:rFonts w:asciiTheme="majorHAnsi" w:eastAsia="Times New Roman" w:hAnsiTheme="majorHAnsi" w:cstheme="majorHAnsi"/>
                <w:bCs/>
                <w:iCs/>
                <w:szCs w:val="24"/>
                <w:lang w:val="hr-HR" w:eastAsia="hr-HR"/>
              </w:rPr>
              <w:t>%</w:t>
            </w:r>
          </w:p>
        </w:tc>
      </w:tr>
      <w:tr w:rsidR="00422AF0" w:rsidRPr="00D01227" w14:paraId="4702C544" w14:textId="77777777" w:rsidTr="0098794F">
        <w:trPr>
          <w:trHeight w:val="557"/>
        </w:trPr>
        <w:tc>
          <w:tcPr>
            <w:tcW w:w="2295" w:type="dxa"/>
            <w:shd w:val="clear" w:color="auto" w:fill="auto"/>
            <w:noWrap/>
            <w:vAlign w:val="center"/>
          </w:tcPr>
          <w:p w14:paraId="459C996F"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Provedene aktivnosti</w:t>
            </w:r>
          </w:p>
        </w:tc>
        <w:tc>
          <w:tcPr>
            <w:tcW w:w="7344" w:type="dxa"/>
            <w:gridSpan w:val="4"/>
            <w:shd w:val="clear" w:color="auto" w:fill="auto"/>
            <w:vAlign w:val="center"/>
          </w:tcPr>
          <w:p w14:paraId="23B70913" w14:textId="541324DC" w:rsidR="00422AF0"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 xml:space="preserve">Identifikacija izvora prostornih podataka odvijala se u dva smjera. Prvi je smjer bio na nacionalnoj razini te je tako do 2017. godine u NIPP bila uključena većina tijela javne vlasti koja u svojoj nadležnosti imaju izvore prostornih podataka s nacionalne </w:t>
            </w:r>
            <w:r>
              <w:rPr>
                <w:rFonts w:asciiTheme="majorHAnsi" w:eastAsia="Times New Roman" w:hAnsiTheme="majorHAnsi" w:cstheme="majorHAnsi"/>
                <w:szCs w:val="24"/>
                <w:lang w:val="hr-HR"/>
              </w:rPr>
              <w:t>razine. Velik broj izvora s nacionalne razine je prepoznat upravo u razdoblju provođenja Strategije, te su tako uključeni novi nacionalni izvori Ministarstva gospodarstva i održivog razvoja, Ministarstva prostornog</w:t>
            </w:r>
            <w:r w:rsidR="00AB6B80">
              <w:rPr>
                <w:rFonts w:asciiTheme="majorHAnsi" w:eastAsia="Times New Roman" w:hAnsiTheme="majorHAnsi" w:cstheme="majorHAnsi"/>
                <w:szCs w:val="24"/>
                <w:lang w:val="hr-HR"/>
              </w:rPr>
              <w:t>a</w:t>
            </w:r>
            <w:r>
              <w:rPr>
                <w:rFonts w:asciiTheme="majorHAnsi" w:eastAsia="Times New Roman" w:hAnsiTheme="majorHAnsi" w:cstheme="majorHAnsi"/>
                <w:szCs w:val="24"/>
                <w:lang w:val="hr-HR"/>
              </w:rPr>
              <w:t xml:space="preserve"> uređenja</w:t>
            </w:r>
            <w:r w:rsidR="001C5E62">
              <w:rPr>
                <w:rFonts w:asciiTheme="majorHAnsi" w:eastAsia="Times New Roman" w:hAnsiTheme="majorHAnsi" w:cstheme="majorHAnsi"/>
                <w:szCs w:val="24"/>
                <w:lang w:val="hr-HR"/>
              </w:rPr>
              <w:t xml:space="preserve">, </w:t>
            </w:r>
            <w:r w:rsidR="001C5E62">
              <w:rPr>
                <w:rFonts w:asciiTheme="majorHAnsi" w:eastAsia="Times New Roman" w:hAnsiTheme="majorHAnsi" w:cstheme="majorHAnsi"/>
                <w:szCs w:val="24"/>
                <w:lang w:val="hr-HR"/>
              </w:rPr>
              <w:lastRenderedPageBreak/>
              <w:t>graditeljstva</w:t>
            </w:r>
            <w:r>
              <w:rPr>
                <w:rFonts w:asciiTheme="majorHAnsi" w:eastAsia="Times New Roman" w:hAnsiTheme="majorHAnsi" w:cstheme="majorHAnsi"/>
                <w:szCs w:val="24"/>
                <w:lang w:val="hr-HR"/>
              </w:rPr>
              <w:t xml:space="preserve"> i državne imovine, Ministarstva kulture i medija, Državne geodetske uprave, Državnog zavoda za statistiku, Hrvatskih šuma, Hrvatskih voda, Agencije za plaćanja u poljoprivredi, ribarstvu i ruralnom razvoju i drugih subjekata NIPP-a.</w:t>
            </w:r>
          </w:p>
          <w:p w14:paraId="3FE3D7E6"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p>
          <w:p w14:paraId="22DE5CA9" w14:textId="491294FF" w:rsidR="00422AF0"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 xml:space="preserve">Prepoznatljivost izvora područne (regionalne) i lokalne razine je bila nešto otežana budući da se u nekim dijelovima nadležnost institucija nad tim izvorima preklapa ili ona nije jasno razgraničena. Budući da se mali broj institucija s ove razine samoinicijativno i u skladu s Zakonom o NIPP-u uključio u NIPP, Državna geodetska uprava je u srpnju 2020. godine pokrenula aktivnosti njihova uključenja. Ovim aktivnostima je prethodilo identificiranje izvora prostornih podataka područne (regionalne) i lokalne samouprave kao što su: </w:t>
            </w:r>
            <w:r w:rsidR="0036012F">
              <w:rPr>
                <w:rFonts w:asciiTheme="majorHAnsi" w:eastAsia="Times New Roman" w:hAnsiTheme="majorHAnsi" w:cstheme="majorHAnsi"/>
                <w:szCs w:val="24"/>
                <w:lang w:val="hr-HR"/>
              </w:rPr>
              <w:t>prostorni</w:t>
            </w:r>
            <w:r w:rsidRPr="00D01227">
              <w:rPr>
                <w:rFonts w:asciiTheme="majorHAnsi" w:eastAsia="Times New Roman" w:hAnsiTheme="majorHAnsi" w:cstheme="majorHAnsi"/>
                <w:szCs w:val="24"/>
                <w:lang w:val="hr-HR"/>
              </w:rPr>
              <w:t xml:space="preserve"> planov</w:t>
            </w:r>
            <w:r w:rsidR="0036012F">
              <w:rPr>
                <w:rFonts w:asciiTheme="majorHAnsi" w:eastAsia="Times New Roman" w:hAnsiTheme="majorHAnsi" w:cstheme="majorHAnsi"/>
                <w:szCs w:val="24"/>
                <w:lang w:val="hr-HR"/>
              </w:rPr>
              <w:t>i odgovarajuće razine</w:t>
            </w:r>
            <w:r w:rsidRPr="00D01227">
              <w:rPr>
                <w:rFonts w:asciiTheme="majorHAnsi" w:eastAsia="Times New Roman" w:hAnsiTheme="majorHAnsi" w:cstheme="majorHAnsi"/>
                <w:szCs w:val="24"/>
                <w:lang w:val="hr-HR"/>
              </w:rPr>
              <w:t>, nerazvrstane ceste, komunalna i javna infrastruktura i dr. Uz prethodno prepoznavanje izvora prostornih podataka s nacionalne razine, ovime je mreža izvora proširena na područnu (regionalnu) i lokalnu razinu.</w:t>
            </w:r>
            <w:r>
              <w:rPr>
                <w:rFonts w:asciiTheme="majorHAnsi" w:eastAsia="Times New Roman" w:hAnsiTheme="majorHAnsi" w:cstheme="majorHAnsi"/>
                <w:szCs w:val="24"/>
                <w:lang w:val="hr-HR"/>
              </w:rPr>
              <w:t xml:space="preserve"> Planiran ukupni broj identificiranih izvora je bio 300, što je značajno premašeno s identificiranih 630 skupova prostornih podataka u razdoblju provođenja Strategije.</w:t>
            </w:r>
          </w:p>
          <w:p w14:paraId="47958B86"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p>
          <w:p w14:paraId="4F165C22"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r>
              <w:rPr>
                <w:rFonts w:asciiTheme="majorHAnsi" w:eastAsia="Times New Roman" w:hAnsiTheme="majorHAnsi" w:cstheme="majorHAnsi"/>
                <w:szCs w:val="24"/>
                <w:lang w:val="hr-HR"/>
              </w:rPr>
              <w:t>U promatranom razdoblju provođenja Strategije u Registar izvora prostornih podataka NIPP-a je prijavljen 681 novi izvor, što uz prethodnu brojku od 188 izvora, daje ukupan broj od 869 prepoznatih izvora prostornih podataka prijavljenih u Registar izvora prostornih podataka NIPP-a. Izvori prostornih podataka svih razina kontinuirano se i danas uključuju u NIPP.</w:t>
            </w:r>
          </w:p>
          <w:p w14:paraId="27D976FE"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p>
          <w:p w14:paraId="5CB6C4AA" w14:textId="53837B04" w:rsidR="00422AF0"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 xml:space="preserve">Iako nije ostvarena brojka od 800 izvora prostornih podataka opisanih </w:t>
            </w:r>
            <w:proofErr w:type="spellStart"/>
            <w:r w:rsidRPr="00D01227">
              <w:rPr>
                <w:rFonts w:asciiTheme="majorHAnsi" w:eastAsia="Times New Roman" w:hAnsiTheme="majorHAnsi" w:cstheme="majorHAnsi"/>
                <w:szCs w:val="24"/>
                <w:lang w:val="hr-HR"/>
              </w:rPr>
              <w:t>metpodacima</w:t>
            </w:r>
            <w:proofErr w:type="spellEnd"/>
            <w:r w:rsidRPr="00D01227">
              <w:rPr>
                <w:rFonts w:asciiTheme="majorHAnsi" w:eastAsia="Times New Roman" w:hAnsiTheme="majorHAnsi" w:cstheme="majorHAnsi"/>
                <w:szCs w:val="24"/>
                <w:lang w:val="hr-HR"/>
              </w:rPr>
              <w:t xml:space="preserve"> na </w:t>
            </w:r>
            <w:proofErr w:type="spellStart"/>
            <w:r w:rsidRPr="00D01227">
              <w:rPr>
                <w:rFonts w:asciiTheme="majorHAnsi" w:eastAsia="Times New Roman" w:hAnsiTheme="majorHAnsi" w:cstheme="majorHAnsi"/>
                <w:szCs w:val="24"/>
                <w:lang w:val="hr-HR"/>
              </w:rPr>
              <w:t>Geoportalu</w:t>
            </w:r>
            <w:proofErr w:type="spellEnd"/>
            <w:r w:rsidRPr="00D01227">
              <w:rPr>
                <w:rFonts w:asciiTheme="majorHAnsi" w:eastAsia="Times New Roman" w:hAnsiTheme="majorHAnsi" w:cstheme="majorHAnsi"/>
                <w:szCs w:val="24"/>
                <w:lang w:val="hr-HR"/>
              </w:rPr>
              <w:t xml:space="preserve"> NIPPP-a</w:t>
            </w:r>
            <w:r w:rsidR="006939F6">
              <w:rPr>
                <w:rFonts w:asciiTheme="majorHAnsi" w:eastAsia="Times New Roman" w:hAnsiTheme="majorHAnsi" w:cstheme="majorHAnsi"/>
                <w:szCs w:val="24"/>
                <w:lang w:val="hr-HR"/>
              </w:rPr>
              <w:t>,</w:t>
            </w:r>
            <w:r w:rsidRPr="00D01227">
              <w:rPr>
                <w:rFonts w:asciiTheme="majorHAnsi" w:eastAsia="Times New Roman" w:hAnsiTheme="majorHAnsi" w:cstheme="majorHAnsi"/>
                <w:szCs w:val="24"/>
                <w:lang w:val="hr-HR"/>
              </w:rPr>
              <w:t xml:space="preserve"> do kraja 2020. predviđena Akcijskim planom, ona je značajno uvećana. </w:t>
            </w:r>
            <w:r>
              <w:rPr>
                <w:rFonts w:asciiTheme="majorHAnsi" w:eastAsia="Times New Roman" w:hAnsiTheme="majorHAnsi" w:cstheme="majorHAnsi"/>
                <w:szCs w:val="24"/>
                <w:lang w:val="hr-HR"/>
              </w:rPr>
              <w:t>Ovdje je važno napomenuti da je donošenjem Zakona o državnoj izmjeri i katastru nekretnina (NN 112/2018) DGU preuzela nadležnost nad vođenjem i održavanjem Katastra infrastrukture i adresa iz Registra prostornih jedinica. Naime, do donošenja ovog zakona jedinice lokalne samouprave su bile nadležne za ove izvore, te je planirana brojka uključivala pojedinačne adrese i katastar infrastrukture za svaku jedinicu (555 jedinica lokalne samouprave). Preuzimanjem ovih izvora od strane DGU smanjena je mogućnost postizanja planiranog pokazatelja iz 2016. godine.</w:t>
            </w:r>
          </w:p>
          <w:p w14:paraId="6AA39827"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r>
              <w:rPr>
                <w:rFonts w:asciiTheme="majorHAnsi" w:eastAsia="Times New Roman" w:hAnsiTheme="majorHAnsi" w:cstheme="majorHAnsi"/>
                <w:szCs w:val="24"/>
                <w:lang w:val="hr-HR"/>
              </w:rPr>
              <w:t xml:space="preserve">  </w:t>
            </w:r>
          </w:p>
          <w:p w14:paraId="21110DAD"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r>
              <w:rPr>
                <w:rFonts w:asciiTheme="majorHAnsi" w:eastAsia="Times New Roman" w:hAnsiTheme="majorHAnsi" w:cstheme="majorHAnsi"/>
                <w:szCs w:val="24"/>
                <w:lang w:val="hr-HR"/>
              </w:rPr>
              <w:t>Do</w:t>
            </w:r>
            <w:r w:rsidRPr="00D01227">
              <w:rPr>
                <w:rFonts w:asciiTheme="majorHAnsi" w:eastAsia="Times New Roman" w:hAnsiTheme="majorHAnsi" w:cstheme="majorHAnsi"/>
                <w:szCs w:val="24"/>
                <w:lang w:val="hr-HR"/>
              </w:rPr>
              <w:t xml:space="preserve"> kraja 2016. na </w:t>
            </w:r>
            <w:proofErr w:type="spellStart"/>
            <w:r w:rsidRPr="00D01227">
              <w:rPr>
                <w:rFonts w:asciiTheme="majorHAnsi" w:eastAsia="Times New Roman" w:hAnsiTheme="majorHAnsi" w:cstheme="majorHAnsi"/>
                <w:szCs w:val="24"/>
                <w:lang w:val="hr-HR"/>
              </w:rPr>
              <w:t>Geoportalu</w:t>
            </w:r>
            <w:proofErr w:type="spellEnd"/>
            <w:r w:rsidRPr="00D01227">
              <w:rPr>
                <w:rFonts w:asciiTheme="majorHAnsi" w:eastAsia="Times New Roman" w:hAnsiTheme="majorHAnsi" w:cstheme="majorHAnsi"/>
                <w:szCs w:val="24"/>
                <w:lang w:val="hr-HR"/>
              </w:rPr>
              <w:t xml:space="preserve"> NIPP-a bi</w:t>
            </w:r>
            <w:r>
              <w:rPr>
                <w:rFonts w:asciiTheme="majorHAnsi" w:eastAsia="Times New Roman" w:hAnsiTheme="majorHAnsi" w:cstheme="majorHAnsi"/>
                <w:szCs w:val="24"/>
                <w:lang w:val="hr-HR"/>
              </w:rPr>
              <w:t>l</w:t>
            </w:r>
            <w:r w:rsidRPr="00D01227">
              <w:rPr>
                <w:rFonts w:asciiTheme="majorHAnsi" w:eastAsia="Times New Roman" w:hAnsiTheme="majorHAnsi" w:cstheme="majorHAnsi"/>
                <w:szCs w:val="24"/>
                <w:lang w:val="hr-HR"/>
              </w:rPr>
              <w:t xml:space="preserve">o </w:t>
            </w:r>
            <w:r>
              <w:rPr>
                <w:rFonts w:asciiTheme="majorHAnsi" w:eastAsia="Times New Roman" w:hAnsiTheme="majorHAnsi" w:cstheme="majorHAnsi"/>
                <w:szCs w:val="24"/>
                <w:lang w:val="hr-HR"/>
              </w:rPr>
              <w:t xml:space="preserve">je </w:t>
            </w:r>
            <w:r w:rsidRPr="00D01227">
              <w:rPr>
                <w:rFonts w:asciiTheme="majorHAnsi" w:eastAsia="Times New Roman" w:hAnsiTheme="majorHAnsi" w:cstheme="majorHAnsi"/>
                <w:szCs w:val="24"/>
                <w:lang w:val="hr-HR"/>
              </w:rPr>
              <w:t xml:space="preserve">dostupno 168 izvora prostornih podataka opisanih </w:t>
            </w:r>
            <w:proofErr w:type="spellStart"/>
            <w:r w:rsidRPr="00D01227">
              <w:rPr>
                <w:rFonts w:asciiTheme="majorHAnsi" w:eastAsia="Times New Roman" w:hAnsiTheme="majorHAnsi" w:cstheme="majorHAnsi"/>
                <w:szCs w:val="24"/>
                <w:lang w:val="hr-HR"/>
              </w:rPr>
              <w:t>metapodacima</w:t>
            </w:r>
            <w:proofErr w:type="spellEnd"/>
            <w:r w:rsidRPr="00D01227">
              <w:rPr>
                <w:rFonts w:asciiTheme="majorHAnsi" w:eastAsia="Times New Roman" w:hAnsiTheme="majorHAnsi" w:cstheme="majorHAnsi"/>
                <w:szCs w:val="24"/>
                <w:lang w:val="hr-HR"/>
              </w:rPr>
              <w:t>, dok je u razdo</w:t>
            </w:r>
            <w:r>
              <w:rPr>
                <w:rFonts w:asciiTheme="majorHAnsi" w:eastAsia="Times New Roman" w:hAnsiTheme="majorHAnsi" w:cstheme="majorHAnsi"/>
                <w:szCs w:val="24"/>
                <w:lang w:val="hr-HR"/>
              </w:rPr>
              <w:t>blju 2017.-2020. dodatno opisan</w:t>
            </w:r>
            <w:r w:rsidRPr="00D01227">
              <w:rPr>
                <w:rFonts w:asciiTheme="majorHAnsi" w:eastAsia="Times New Roman" w:hAnsiTheme="majorHAnsi" w:cstheme="majorHAnsi"/>
                <w:szCs w:val="24"/>
                <w:lang w:val="hr-HR"/>
              </w:rPr>
              <w:t xml:space="preserve"> 2</w:t>
            </w:r>
            <w:r>
              <w:rPr>
                <w:rFonts w:asciiTheme="majorHAnsi" w:eastAsia="Times New Roman" w:hAnsiTheme="majorHAnsi" w:cstheme="majorHAnsi"/>
                <w:szCs w:val="24"/>
                <w:lang w:val="hr-HR"/>
              </w:rPr>
              <w:t>91</w:t>
            </w:r>
            <w:r w:rsidRPr="00D01227">
              <w:rPr>
                <w:rFonts w:asciiTheme="majorHAnsi" w:eastAsia="Times New Roman" w:hAnsiTheme="majorHAnsi" w:cstheme="majorHAnsi"/>
                <w:szCs w:val="24"/>
                <w:lang w:val="hr-HR"/>
              </w:rPr>
              <w:t xml:space="preserve"> </w:t>
            </w:r>
            <w:r>
              <w:rPr>
                <w:rFonts w:asciiTheme="majorHAnsi" w:eastAsia="Times New Roman" w:hAnsiTheme="majorHAnsi" w:cstheme="majorHAnsi"/>
                <w:szCs w:val="24"/>
                <w:lang w:val="hr-HR"/>
              </w:rPr>
              <w:t>novi izvor</w:t>
            </w:r>
            <w:r w:rsidRPr="00D01227">
              <w:rPr>
                <w:rFonts w:asciiTheme="majorHAnsi" w:eastAsia="Times New Roman" w:hAnsiTheme="majorHAnsi" w:cstheme="majorHAnsi"/>
                <w:szCs w:val="24"/>
                <w:lang w:val="hr-HR"/>
              </w:rPr>
              <w:t xml:space="preserve"> što </w:t>
            </w:r>
            <w:r>
              <w:rPr>
                <w:rFonts w:asciiTheme="majorHAnsi" w:eastAsia="Times New Roman" w:hAnsiTheme="majorHAnsi" w:cstheme="majorHAnsi"/>
                <w:szCs w:val="24"/>
                <w:lang w:val="hr-HR"/>
              </w:rPr>
              <w:t>predstavlja ukupni porast od 173</w:t>
            </w:r>
            <w:r w:rsidRPr="00D01227">
              <w:rPr>
                <w:rFonts w:asciiTheme="majorHAnsi" w:eastAsia="Times New Roman" w:hAnsiTheme="majorHAnsi" w:cstheme="majorHAnsi"/>
                <w:szCs w:val="24"/>
                <w:lang w:val="hr-HR"/>
              </w:rPr>
              <w:t xml:space="preserve">%. Usporedba brojeva izvora opisanih </w:t>
            </w:r>
            <w:proofErr w:type="spellStart"/>
            <w:r w:rsidRPr="00D01227">
              <w:rPr>
                <w:rFonts w:asciiTheme="majorHAnsi" w:eastAsia="Times New Roman" w:hAnsiTheme="majorHAnsi" w:cstheme="majorHAnsi"/>
                <w:szCs w:val="24"/>
                <w:lang w:val="hr-HR"/>
              </w:rPr>
              <w:t>metapodacima</w:t>
            </w:r>
            <w:proofErr w:type="spellEnd"/>
            <w:r w:rsidRPr="00D01227">
              <w:rPr>
                <w:rFonts w:asciiTheme="majorHAnsi" w:eastAsia="Times New Roman" w:hAnsiTheme="majorHAnsi" w:cstheme="majorHAnsi"/>
                <w:szCs w:val="24"/>
                <w:lang w:val="hr-HR"/>
              </w:rPr>
              <w:t xml:space="preserve"> po vremenskim razdobljima vidljiva je niže na grafičkom prikazu.</w:t>
            </w:r>
          </w:p>
          <w:p w14:paraId="264662D7"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p>
          <w:tbl>
            <w:tblPr>
              <w:tblW w:w="6100"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2021"/>
              <w:gridCol w:w="1559"/>
              <w:gridCol w:w="1280"/>
              <w:gridCol w:w="1240"/>
            </w:tblGrid>
            <w:tr w:rsidR="00422AF0" w:rsidRPr="004022E0" w14:paraId="2A3ACBF7" w14:textId="77777777" w:rsidTr="00914E02">
              <w:trPr>
                <w:trHeight w:val="300"/>
                <w:jc w:val="center"/>
              </w:trPr>
              <w:tc>
                <w:tcPr>
                  <w:tcW w:w="2021" w:type="dxa"/>
                  <w:shd w:val="clear" w:color="auto" w:fill="auto"/>
                  <w:noWrap/>
                  <w:vAlign w:val="bottom"/>
                  <w:hideMark/>
                </w:tcPr>
                <w:p w14:paraId="754AA666" w14:textId="77777777" w:rsidR="00422AF0" w:rsidRPr="004022E0" w:rsidRDefault="00422AF0" w:rsidP="00E060D5">
                  <w:pPr>
                    <w:spacing w:after="0" w:line="240" w:lineRule="auto"/>
                    <w:jc w:val="both"/>
                    <w:rPr>
                      <w:rFonts w:eastAsia="Times New Roman" w:cstheme="minorHAnsi"/>
                      <w:szCs w:val="24"/>
                      <w:lang w:val="hr-HR" w:eastAsia="hr-HR"/>
                    </w:rPr>
                  </w:pPr>
                  <w:r w:rsidRPr="004022E0">
                    <w:rPr>
                      <w:rFonts w:eastAsia="Times New Roman" w:cstheme="minorHAnsi"/>
                      <w:szCs w:val="24"/>
                      <w:lang w:val="hr-HR" w:eastAsia="hr-HR"/>
                    </w:rPr>
                    <w:t>Geoportal NIPP-a</w:t>
                  </w:r>
                </w:p>
              </w:tc>
              <w:tc>
                <w:tcPr>
                  <w:tcW w:w="1559" w:type="dxa"/>
                  <w:shd w:val="clear" w:color="auto" w:fill="auto"/>
                  <w:noWrap/>
                  <w:vAlign w:val="bottom"/>
                  <w:hideMark/>
                </w:tcPr>
                <w:p w14:paraId="4BDE7E28"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2013.-2016.</w:t>
                  </w:r>
                </w:p>
              </w:tc>
              <w:tc>
                <w:tcPr>
                  <w:tcW w:w="1280" w:type="dxa"/>
                  <w:shd w:val="clear" w:color="auto" w:fill="auto"/>
                  <w:noWrap/>
                  <w:vAlign w:val="bottom"/>
                  <w:hideMark/>
                </w:tcPr>
                <w:p w14:paraId="319A9BF9"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2017.-2020.</w:t>
                  </w:r>
                </w:p>
              </w:tc>
              <w:tc>
                <w:tcPr>
                  <w:tcW w:w="1240" w:type="dxa"/>
                  <w:shd w:val="clear" w:color="auto" w:fill="auto"/>
                  <w:noWrap/>
                  <w:vAlign w:val="bottom"/>
                  <w:hideMark/>
                </w:tcPr>
                <w:p w14:paraId="135E7853"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UKUPNO</w:t>
                  </w:r>
                </w:p>
              </w:tc>
            </w:tr>
            <w:tr w:rsidR="00422AF0" w:rsidRPr="004022E0" w14:paraId="2708DEA9" w14:textId="77777777" w:rsidTr="00914E02">
              <w:trPr>
                <w:trHeight w:val="300"/>
                <w:jc w:val="center"/>
              </w:trPr>
              <w:tc>
                <w:tcPr>
                  <w:tcW w:w="2021" w:type="dxa"/>
                  <w:shd w:val="clear" w:color="auto" w:fill="auto"/>
                  <w:noWrap/>
                  <w:vAlign w:val="bottom"/>
                  <w:hideMark/>
                </w:tcPr>
                <w:p w14:paraId="2CAF84F8"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SKUP/NIZ</w:t>
                  </w:r>
                </w:p>
              </w:tc>
              <w:tc>
                <w:tcPr>
                  <w:tcW w:w="1559" w:type="dxa"/>
                  <w:shd w:val="clear" w:color="auto" w:fill="auto"/>
                  <w:noWrap/>
                  <w:vAlign w:val="bottom"/>
                  <w:hideMark/>
                </w:tcPr>
                <w:p w14:paraId="648CE772"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116</w:t>
                  </w:r>
                </w:p>
              </w:tc>
              <w:tc>
                <w:tcPr>
                  <w:tcW w:w="1280" w:type="dxa"/>
                  <w:shd w:val="clear" w:color="auto" w:fill="auto"/>
                  <w:noWrap/>
                  <w:vAlign w:val="bottom"/>
                  <w:hideMark/>
                </w:tcPr>
                <w:p w14:paraId="0C97F9F4"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113</w:t>
                  </w:r>
                </w:p>
              </w:tc>
              <w:tc>
                <w:tcPr>
                  <w:tcW w:w="1240" w:type="dxa"/>
                  <w:shd w:val="clear" w:color="auto" w:fill="auto"/>
                  <w:noWrap/>
                  <w:vAlign w:val="bottom"/>
                  <w:hideMark/>
                </w:tcPr>
                <w:p w14:paraId="3D5CAA95"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229</w:t>
                  </w:r>
                </w:p>
              </w:tc>
            </w:tr>
            <w:tr w:rsidR="00422AF0" w:rsidRPr="004022E0" w14:paraId="4F28BE15" w14:textId="77777777" w:rsidTr="00914E02">
              <w:trPr>
                <w:trHeight w:val="300"/>
                <w:jc w:val="center"/>
              </w:trPr>
              <w:tc>
                <w:tcPr>
                  <w:tcW w:w="2021" w:type="dxa"/>
                  <w:shd w:val="clear" w:color="auto" w:fill="auto"/>
                  <w:noWrap/>
                  <w:vAlign w:val="bottom"/>
                  <w:hideMark/>
                </w:tcPr>
                <w:p w14:paraId="1A52CCA4"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USLUGA</w:t>
                  </w:r>
                </w:p>
              </w:tc>
              <w:tc>
                <w:tcPr>
                  <w:tcW w:w="1559" w:type="dxa"/>
                  <w:shd w:val="clear" w:color="auto" w:fill="auto"/>
                  <w:noWrap/>
                  <w:vAlign w:val="bottom"/>
                  <w:hideMark/>
                </w:tcPr>
                <w:p w14:paraId="758181D9"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52</w:t>
                  </w:r>
                </w:p>
              </w:tc>
              <w:tc>
                <w:tcPr>
                  <w:tcW w:w="1280" w:type="dxa"/>
                  <w:shd w:val="clear" w:color="auto" w:fill="auto"/>
                  <w:noWrap/>
                  <w:vAlign w:val="bottom"/>
                  <w:hideMark/>
                </w:tcPr>
                <w:p w14:paraId="045F4C9C"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178</w:t>
                  </w:r>
                </w:p>
              </w:tc>
              <w:tc>
                <w:tcPr>
                  <w:tcW w:w="1240" w:type="dxa"/>
                  <w:shd w:val="clear" w:color="auto" w:fill="auto"/>
                  <w:noWrap/>
                  <w:vAlign w:val="bottom"/>
                  <w:hideMark/>
                </w:tcPr>
                <w:p w14:paraId="570AAA01"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230</w:t>
                  </w:r>
                </w:p>
              </w:tc>
            </w:tr>
            <w:tr w:rsidR="00422AF0" w:rsidRPr="004022E0" w14:paraId="3A158F4B" w14:textId="77777777" w:rsidTr="00914E02">
              <w:trPr>
                <w:trHeight w:val="300"/>
                <w:jc w:val="center"/>
              </w:trPr>
              <w:tc>
                <w:tcPr>
                  <w:tcW w:w="2021" w:type="dxa"/>
                  <w:shd w:val="clear" w:color="auto" w:fill="auto"/>
                  <w:noWrap/>
                  <w:vAlign w:val="bottom"/>
                  <w:hideMark/>
                </w:tcPr>
                <w:p w14:paraId="6910FDAC"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UKUPNO</w:t>
                  </w:r>
                </w:p>
              </w:tc>
              <w:tc>
                <w:tcPr>
                  <w:tcW w:w="1559" w:type="dxa"/>
                  <w:shd w:val="clear" w:color="auto" w:fill="auto"/>
                  <w:noWrap/>
                  <w:vAlign w:val="bottom"/>
                  <w:hideMark/>
                </w:tcPr>
                <w:p w14:paraId="4BE0ABB7"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168</w:t>
                  </w:r>
                </w:p>
              </w:tc>
              <w:tc>
                <w:tcPr>
                  <w:tcW w:w="1280" w:type="dxa"/>
                  <w:shd w:val="clear" w:color="auto" w:fill="auto"/>
                  <w:noWrap/>
                  <w:vAlign w:val="bottom"/>
                  <w:hideMark/>
                </w:tcPr>
                <w:p w14:paraId="05286B78"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291</w:t>
                  </w:r>
                </w:p>
              </w:tc>
              <w:tc>
                <w:tcPr>
                  <w:tcW w:w="1240" w:type="dxa"/>
                  <w:shd w:val="clear" w:color="auto" w:fill="auto"/>
                  <w:noWrap/>
                  <w:vAlign w:val="bottom"/>
                  <w:hideMark/>
                </w:tcPr>
                <w:p w14:paraId="7AAF81DA" w14:textId="77777777" w:rsidR="00422AF0" w:rsidRPr="004022E0" w:rsidRDefault="00422AF0" w:rsidP="00E060D5">
                  <w:pPr>
                    <w:spacing w:after="0" w:line="240" w:lineRule="auto"/>
                    <w:jc w:val="both"/>
                    <w:rPr>
                      <w:rFonts w:ascii="Calibri" w:eastAsia="Times New Roman" w:hAnsi="Calibri" w:cs="Calibri"/>
                      <w:color w:val="000000"/>
                      <w:sz w:val="20"/>
                      <w:szCs w:val="20"/>
                      <w:lang w:val="hr-HR" w:eastAsia="hr-HR"/>
                    </w:rPr>
                  </w:pPr>
                  <w:r w:rsidRPr="004022E0">
                    <w:rPr>
                      <w:rFonts w:ascii="Calibri" w:eastAsia="Times New Roman" w:hAnsi="Calibri" w:cs="Calibri"/>
                      <w:color w:val="000000"/>
                      <w:sz w:val="20"/>
                      <w:szCs w:val="20"/>
                      <w:lang w:val="hr-HR" w:eastAsia="hr-HR"/>
                    </w:rPr>
                    <w:t>459</w:t>
                  </w:r>
                </w:p>
              </w:tc>
            </w:tr>
          </w:tbl>
          <w:p w14:paraId="6826F6E7"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p>
          <w:p w14:paraId="39DAE0C6"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r>
              <w:rPr>
                <w:noProof/>
                <w:lang w:val="hr-HR" w:eastAsia="hr-HR"/>
              </w:rPr>
              <w:lastRenderedPageBreak/>
              <w:drawing>
                <wp:inline distT="0" distB="0" distL="0" distR="0" wp14:anchorId="7939896C" wp14:editId="2F59DC29">
                  <wp:extent cx="3876675" cy="20097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EDD224"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p>
          <w:p w14:paraId="6AA36A1F"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 xml:space="preserve">U odnosu na kraj 2016. ostvaren je porast u ukupnom broju </w:t>
            </w:r>
            <w:proofErr w:type="spellStart"/>
            <w:r w:rsidRPr="00D01227">
              <w:rPr>
                <w:rFonts w:asciiTheme="majorHAnsi" w:eastAsia="Times New Roman" w:hAnsiTheme="majorHAnsi" w:cstheme="majorHAnsi"/>
                <w:szCs w:val="24"/>
                <w:lang w:val="hr-HR"/>
              </w:rPr>
              <w:t>metapodataka</w:t>
            </w:r>
            <w:proofErr w:type="spellEnd"/>
            <w:r w:rsidRPr="00D01227">
              <w:rPr>
                <w:rFonts w:asciiTheme="majorHAnsi" w:eastAsia="Times New Roman" w:hAnsiTheme="majorHAnsi" w:cstheme="majorHAnsi"/>
                <w:szCs w:val="24"/>
                <w:lang w:val="hr-HR"/>
              </w:rPr>
              <w:t xml:space="preserve"> skupova, odnosno nizova, od 97%, dok za </w:t>
            </w:r>
            <w:proofErr w:type="spellStart"/>
            <w:r w:rsidRPr="00D01227">
              <w:rPr>
                <w:rFonts w:asciiTheme="majorHAnsi" w:eastAsia="Times New Roman" w:hAnsiTheme="majorHAnsi" w:cstheme="majorHAnsi"/>
                <w:szCs w:val="24"/>
                <w:lang w:val="hr-HR"/>
              </w:rPr>
              <w:t>metapodatke</w:t>
            </w:r>
            <w:proofErr w:type="spellEnd"/>
            <w:r w:rsidRPr="00D01227">
              <w:rPr>
                <w:rFonts w:asciiTheme="majorHAnsi" w:eastAsia="Times New Roman" w:hAnsiTheme="majorHAnsi" w:cstheme="majorHAnsi"/>
                <w:szCs w:val="24"/>
                <w:lang w:val="hr-HR"/>
              </w:rPr>
              <w:t xml:space="preserve"> usluga porast iznosi čak 3</w:t>
            </w:r>
            <w:r>
              <w:rPr>
                <w:rFonts w:asciiTheme="majorHAnsi" w:eastAsia="Times New Roman" w:hAnsiTheme="majorHAnsi" w:cstheme="majorHAnsi"/>
                <w:szCs w:val="24"/>
                <w:lang w:val="hr-HR"/>
              </w:rPr>
              <w:t>42</w:t>
            </w:r>
            <w:r w:rsidRPr="00D01227">
              <w:rPr>
                <w:rFonts w:asciiTheme="majorHAnsi" w:eastAsia="Times New Roman" w:hAnsiTheme="majorHAnsi" w:cstheme="majorHAnsi"/>
                <w:szCs w:val="24"/>
                <w:lang w:val="hr-HR"/>
              </w:rPr>
              <w:t>%.</w:t>
            </w:r>
          </w:p>
          <w:p w14:paraId="1A2B0633"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p>
          <w:p w14:paraId="7F998B52"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Polazna točka za ostvarivanje ovog strateškog cilja bila je uključivanje izvora jedinica lokalne i područne (regionalne) samouprave u NIPP pri čemu su se nametnule višestruke prepreke kao što su pitanje nadležnosti nad izvorima te postojanje tehničkih, ljudskih i financijskih kapaciteta za ostvarivanje obveza zadanih Zakonom o NIPP-u.</w:t>
            </w:r>
          </w:p>
          <w:p w14:paraId="4082BCDA"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p>
          <w:p w14:paraId="7293DEF8" w14:textId="668F8AAF"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Dostupnost skupova (nizova) prostornih podataka kroz usluge pregleda i preuzimanja je porasla u odnosu na razdoblje 2013.-2016., iako nisu ostvareni brojevi predviđeni Strategijom NIPP-a. Tako je u razdoblju 201</w:t>
            </w:r>
            <w:r>
              <w:rPr>
                <w:rFonts w:asciiTheme="majorHAnsi" w:eastAsia="Times New Roman" w:hAnsiTheme="majorHAnsi" w:cstheme="majorHAnsi"/>
                <w:szCs w:val="24"/>
                <w:lang w:val="hr-HR"/>
              </w:rPr>
              <w:t xml:space="preserve">7.-2020. bilo 77 </w:t>
            </w:r>
            <w:r w:rsidRPr="00D01227">
              <w:rPr>
                <w:rFonts w:asciiTheme="majorHAnsi" w:eastAsia="Times New Roman" w:hAnsiTheme="majorHAnsi" w:cstheme="majorHAnsi"/>
                <w:szCs w:val="24"/>
                <w:lang w:val="hr-HR"/>
              </w:rPr>
              <w:t>skupova (nizova) dostupnih kroz uslugu pregleda (WMS, WMTS), a njih 47 dostupnih kroz uslugu preuzimanja (WFS ili ATOM). Skupovi dostupni kroz</w:t>
            </w:r>
            <w:r w:rsidR="00905465">
              <w:rPr>
                <w:rFonts w:asciiTheme="majorHAnsi" w:eastAsia="Times New Roman" w:hAnsiTheme="majorHAnsi" w:cstheme="majorHAnsi"/>
                <w:szCs w:val="24"/>
                <w:lang w:val="hr-HR"/>
              </w:rPr>
              <w:t xml:space="preserve"> </w:t>
            </w:r>
            <w:r w:rsidRPr="00D01227">
              <w:rPr>
                <w:rFonts w:asciiTheme="majorHAnsi" w:eastAsia="Times New Roman" w:hAnsiTheme="majorHAnsi" w:cstheme="majorHAnsi"/>
                <w:szCs w:val="24"/>
                <w:lang w:val="hr-HR"/>
              </w:rPr>
              <w:t xml:space="preserve"> usklađene usluge</w:t>
            </w:r>
            <w:r w:rsidR="00905465">
              <w:rPr>
                <w:rFonts w:asciiTheme="majorHAnsi" w:eastAsia="Times New Roman" w:hAnsiTheme="majorHAnsi" w:cstheme="majorHAnsi"/>
                <w:szCs w:val="24"/>
                <w:lang w:val="hr-HR"/>
              </w:rPr>
              <w:t xml:space="preserve"> s Provedbenim pravilima</w:t>
            </w:r>
            <w:r w:rsidRPr="00D01227">
              <w:rPr>
                <w:rFonts w:asciiTheme="majorHAnsi" w:eastAsia="Times New Roman" w:hAnsiTheme="majorHAnsi" w:cstheme="majorHAnsi"/>
                <w:szCs w:val="24"/>
                <w:lang w:val="hr-HR"/>
              </w:rPr>
              <w:t xml:space="preserve"> opisani su u Strateškom cilju br. 6.</w:t>
            </w:r>
          </w:p>
          <w:p w14:paraId="2DDDBFE3" w14:textId="77777777" w:rsidR="00422AF0" w:rsidRDefault="00422AF0" w:rsidP="00E060D5">
            <w:pPr>
              <w:widowControl w:val="0"/>
              <w:spacing w:after="0" w:line="240" w:lineRule="auto"/>
              <w:jc w:val="both"/>
              <w:rPr>
                <w:rFonts w:asciiTheme="majorHAnsi" w:eastAsia="Times New Roman" w:hAnsiTheme="majorHAnsi" w:cstheme="majorHAnsi"/>
                <w:szCs w:val="24"/>
                <w:lang w:val="hr-HR"/>
              </w:rPr>
            </w:pPr>
          </w:p>
          <w:p w14:paraId="2F17419B"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r>
              <w:rPr>
                <w:noProof/>
                <w:lang w:val="hr-HR" w:eastAsia="hr-HR"/>
              </w:rPr>
              <w:drawing>
                <wp:inline distT="0" distB="0" distL="0" distR="0" wp14:anchorId="255FE856" wp14:editId="6B61041B">
                  <wp:extent cx="4495800" cy="2470785"/>
                  <wp:effectExtent l="0" t="0" r="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3C9E7E"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p>
          <w:p w14:paraId="729910AD"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 xml:space="preserve">Razvoj mrežnih usluga pregleda i preuzimanja od strane subjekata je također bio otežan, najvećim dijelom zbog nedostatka financijskih sredstava. Prema </w:t>
            </w:r>
            <w:r w:rsidRPr="00D01227">
              <w:rPr>
                <w:rFonts w:asciiTheme="majorHAnsi" w:eastAsia="Times New Roman" w:hAnsiTheme="majorHAnsi" w:cstheme="majorHAnsi"/>
                <w:szCs w:val="24"/>
                <w:lang w:val="hr-HR"/>
              </w:rPr>
              <w:lastRenderedPageBreak/>
              <w:t>dostavljenim odgovorima, pojedinim institucijama nisu odobrena tražena sredstva u državnom proračunu te uslijed toga nije došlo niti do razvoja mrežnih usluga. Nacionalna infrastruktura prostornih podataka je dobro Republike Hrvatske te kao i ostale infrastrukture zahtijeva ulaganja, posebice u razvojnom dijelu.</w:t>
            </w:r>
          </w:p>
          <w:p w14:paraId="7521B2EF"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p>
          <w:p w14:paraId="28DA5EDB"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highlight w:val="yellow"/>
                <w:lang w:val="hr-HR"/>
              </w:rPr>
            </w:pPr>
            <w:r w:rsidRPr="00D01227">
              <w:rPr>
                <w:rFonts w:asciiTheme="majorHAnsi" w:eastAsia="Times New Roman" w:hAnsiTheme="majorHAnsi" w:cstheme="majorHAnsi"/>
                <w:szCs w:val="24"/>
                <w:lang w:val="hr-HR"/>
              </w:rPr>
              <w:t xml:space="preserve">Ipak, neke su institucije, kao na primjer Ministarstvo gospodarstva i održivog razvoja i Državna geodetska uprava, ostvarile zavidan rast u broju novih izvora. Ministarstvo gospodarstva i održivog razvoja je tako prijavilo 29 novih skupova i nizova te čak 87 novo razvijenih usluga opisanih </w:t>
            </w:r>
            <w:proofErr w:type="spellStart"/>
            <w:r w:rsidRPr="00D01227">
              <w:rPr>
                <w:rFonts w:asciiTheme="majorHAnsi" w:eastAsia="Times New Roman" w:hAnsiTheme="majorHAnsi" w:cstheme="majorHAnsi"/>
                <w:szCs w:val="24"/>
                <w:lang w:val="hr-HR"/>
              </w:rPr>
              <w:t>metapodacima</w:t>
            </w:r>
            <w:proofErr w:type="spellEnd"/>
            <w:r w:rsidRPr="00D01227">
              <w:rPr>
                <w:rFonts w:asciiTheme="majorHAnsi" w:eastAsia="Times New Roman" w:hAnsiTheme="majorHAnsi" w:cstheme="majorHAnsi"/>
                <w:szCs w:val="24"/>
                <w:lang w:val="hr-HR"/>
              </w:rPr>
              <w:t xml:space="preserve"> na </w:t>
            </w:r>
            <w:proofErr w:type="spellStart"/>
            <w:r w:rsidRPr="00D01227">
              <w:rPr>
                <w:rFonts w:asciiTheme="majorHAnsi" w:eastAsia="Times New Roman" w:hAnsiTheme="majorHAnsi" w:cstheme="majorHAnsi"/>
                <w:szCs w:val="24"/>
                <w:lang w:val="hr-HR"/>
              </w:rPr>
              <w:t>Geoportalu</w:t>
            </w:r>
            <w:proofErr w:type="spellEnd"/>
            <w:r w:rsidRPr="00D01227">
              <w:rPr>
                <w:rFonts w:asciiTheme="majorHAnsi" w:eastAsia="Times New Roman" w:hAnsiTheme="majorHAnsi" w:cstheme="majorHAnsi"/>
                <w:szCs w:val="24"/>
                <w:lang w:val="hr-HR"/>
              </w:rPr>
              <w:t xml:space="preserve"> NIPP-a. Državna geodetska uprava je također ostvarila značajan rast kroz razvoj novih usluga, njih 5</w:t>
            </w:r>
            <w:r>
              <w:rPr>
                <w:rFonts w:asciiTheme="majorHAnsi" w:eastAsia="Times New Roman" w:hAnsiTheme="majorHAnsi" w:cstheme="majorHAnsi"/>
                <w:szCs w:val="24"/>
                <w:lang w:val="hr-HR"/>
              </w:rPr>
              <w:t>2</w:t>
            </w:r>
            <w:r w:rsidRPr="00D01227">
              <w:rPr>
                <w:rFonts w:asciiTheme="majorHAnsi" w:eastAsia="Times New Roman" w:hAnsiTheme="majorHAnsi" w:cstheme="majorHAnsi"/>
                <w:szCs w:val="24"/>
                <w:lang w:val="hr-HR"/>
              </w:rPr>
              <w:t>.</w:t>
            </w:r>
          </w:p>
          <w:p w14:paraId="5C75BDEA"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p>
          <w:p w14:paraId="2C03A95A" w14:textId="08DC401E"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 xml:space="preserve">Kako bi se podigla razina zadovoljstva korisnika potrebno je da izvori prostornih podataka budu dostupni za pregled i preuzimanje, kako poslovnim korisnicima tako i građanima. Državna geodetska uprava je u tu svrhu razvila preglednik </w:t>
            </w:r>
            <w:proofErr w:type="spellStart"/>
            <w:r w:rsidRPr="00D01227">
              <w:rPr>
                <w:rFonts w:asciiTheme="majorHAnsi" w:eastAsia="Times New Roman" w:hAnsiTheme="majorHAnsi" w:cstheme="majorHAnsi"/>
                <w:szCs w:val="24"/>
                <w:lang w:val="hr-HR"/>
              </w:rPr>
              <w:t>GeoHrvatska</w:t>
            </w:r>
            <w:proofErr w:type="spellEnd"/>
            <w:r w:rsidRPr="00D01227">
              <w:rPr>
                <w:rFonts w:asciiTheme="majorHAnsi" w:eastAsia="Times New Roman" w:hAnsiTheme="majorHAnsi" w:cstheme="majorHAnsi"/>
                <w:szCs w:val="24"/>
                <w:lang w:val="hr-HR"/>
              </w:rPr>
              <w:t xml:space="preserve">, dostupan na </w:t>
            </w:r>
            <w:hyperlink r:id="rId12" w:tgtFrame="_blank" w:history="1">
              <w:r w:rsidR="00696A56" w:rsidRPr="00696A56">
                <w:rPr>
                  <w:rStyle w:val="Hyperlink"/>
                  <w:rFonts w:asciiTheme="majorHAnsi" w:eastAsia="Times New Roman" w:hAnsiTheme="majorHAnsi" w:cstheme="majorHAnsi"/>
                  <w:szCs w:val="24"/>
                  <w:lang w:val="hr-HR"/>
                </w:rPr>
                <w:t>https://www.geohrvatska.hr/</w:t>
              </w:r>
            </w:hyperlink>
            <w:r w:rsidRPr="00D01227">
              <w:rPr>
                <w:rFonts w:asciiTheme="majorHAnsi" w:eastAsia="Times New Roman" w:hAnsiTheme="majorHAnsi" w:cstheme="majorHAnsi"/>
                <w:szCs w:val="24"/>
                <w:lang w:val="hr-HR"/>
              </w:rPr>
              <w:t xml:space="preserve">. Svrha ovog preglednika je mogućnost vizualizacije izvora prostornih podataka tijela javne vlasti na jednom mjestu, kako bi građani na jednostavan način mogli pregledati podatke i odabrati one od interesa. Preglednik je pušten u probni rad krajem 2019., a namijenjen je prvenstveno građanima. U njegovoj su izradi korištene najnovije tehnologije koje se primjenjuju u infrastrukturama prostornih podataka te se tako podaci poslužuju </w:t>
            </w:r>
            <w:proofErr w:type="spellStart"/>
            <w:r w:rsidRPr="00D01227">
              <w:rPr>
                <w:rFonts w:asciiTheme="majorHAnsi" w:eastAsia="Times New Roman" w:hAnsiTheme="majorHAnsi" w:cstheme="majorHAnsi"/>
                <w:szCs w:val="24"/>
                <w:lang w:val="hr-HR"/>
              </w:rPr>
              <w:t>interoperabilno</w:t>
            </w:r>
            <w:proofErr w:type="spellEnd"/>
            <w:r w:rsidRPr="00D01227">
              <w:rPr>
                <w:rFonts w:asciiTheme="majorHAnsi" w:eastAsia="Times New Roman" w:hAnsiTheme="majorHAnsi" w:cstheme="majorHAnsi"/>
                <w:szCs w:val="24"/>
                <w:lang w:val="hr-HR"/>
              </w:rPr>
              <w:t xml:space="preserve"> i neovisno jedni od drugih izvora. </w:t>
            </w:r>
            <w:proofErr w:type="spellStart"/>
            <w:r w:rsidRPr="00D01227">
              <w:rPr>
                <w:rFonts w:asciiTheme="majorHAnsi" w:eastAsia="Times New Roman" w:hAnsiTheme="majorHAnsi" w:cstheme="majorHAnsi"/>
                <w:szCs w:val="24"/>
                <w:lang w:val="hr-HR"/>
              </w:rPr>
              <w:t>Interoperabilnost</w:t>
            </w:r>
            <w:proofErr w:type="spellEnd"/>
            <w:r w:rsidRPr="00D01227">
              <w:rPr>
                <w:rFonts w:asciiTheme="majorHAnsi" w:eastAsia="Times New Roman" w:hAnsiTheme="majorHAnsi" w:cstheme="majorHAnsi"/>
                <w:szCs w:val="24"/>
                <w:lang w:val="hr-HR"/>
              </w:rPr>
              <w:t xml:space="preserve"> podrazumijeva mogućnost kombiniranja izvora prostornih podataka s ciljem dobivanja dodane vrijednost, što preglednik </w:t>
            </w:r>
            <w:proofErr w:type="spellStart"/>
            <w:r w:rsidRPr="00D01227">
              <w:rPr>
                <w:rFonts w:asciiTheme="majorHAnsi" w:eastAsia="Times New Roman" w:hAnsiTheme="majorHAnsi" w:cstheme="majorHAnsi"/>
                <w:szCs w:val="24"/>
                <w:lang w:val="hr-HR"/>
              </w:rPr>
              <w:t>GeoHrvatska</w:t>
            </w:r>
            <w:proofErr w:type="spellEnd"/>
            <w:r w:rsidRPr="00D01227">
              <w:rPr>
                <w:rFonts w:asciiTheme="majorHAnsi" w:eastAsia="Times New Roman" w:hAnsiTheme="majorHAnsi" w:cstheme="majorHAnsi"/>
                <w:szCs w:val="24"/>
                <w:lang w:val="hr-HR"/>
              </w:rPr>
              <w:t xml:space="preserve"> omogućava.</w:t>
            </w:r>
          </w:p>
          <w:p w14:paraId="2384B864"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p>
          <w:p w14:paraId="35A28DE0" w14:textId="6E73358C" w:rsidR="00422AF0" w:rsidRPr="008D5F01"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Jedan od osnovnih ciljeva NIPP-a je učiniti podatke i usluge tijela javne vlasti dostupnim na način da zadovoljavaju potrebe korisnika. Kako bi se ispitao navedeni uvjet, u skladu s operativnim ciljem 2, provedeno je ispitivanje zadovoljstva korisnika putem upitnika.</w:t>
            </w:r>
            <w:r>
              <w:rPr>
                <w:rFonts w:asciiTheme="majorHAnsi" w:eastAsia="Times New Roman" w:hAnsiTheme="majorHAnsi" w:cstheme="majorHAnsi"/>
                <w:szCs w:val="24"/>
                <w:lang w:val="hr-HR"/>
              </w:rPr>
              <w:t xml:space="preserve"> Upitnik je proveden u razdoblju od srpnja do kraja listopada 2020., a odazvao se mali broj sudionika od kojih 38,1% pripada privatnom sektoru.</w:t>
            </w:r>
            <w:r w:rsidRPr="00D01227">
              <w:rPr>
                <w:rFonts w:asciiTheme="majorHAnsi" w:eastAsia="Times New Roman" w:hAnsiTheme="majorHAnsi" w:cstheme="majorHAnsi"/>
                <w:szCs w:val="24"/>
                <w:lang w:val="hr-HR"/>
              </w:rPr>
              <w:t xml:space="preserve"> Dobiveni rezultati pokazuju da je </w:t>
            </w:r>
            <w:r w:rsidR="00C030DE">
              <w:rPr>
                <w:rFonts w:asciiTheme="majorHAnsi" w:eastAsia="Times New Roman" w:hAnsiTheme="majorHAnsi" w:cstheme="majorHAnsi"/>
                <w:szCs w:val="24"/>
                <w:lang w:val="hr-HR"/>
              </w:rPr>
              <w:t xml:space="preserve">od sveukupnog broja ispitanika </w:t>
            </w:r>
            <w:r w:rsidR="00E95AC1">
              <w:rPr>
                <w:rFonts w:asciiTheme="majorHAnsi" w:eastAsia="Times New Roman" w:hAnsiTheme="majorHAnsi" w:cstheme="majorHAnsi"/>
                <w:szCs w:val="24"/>
                <w:lang w:val="hr-HR"/>
              </w:rPr>
              <w:t xml:space="preserve">86% </w:t>
            </w:r>
            <w:r w:rsidRPr="00D01227">
              <w:rPr>
                <w:rFonts w:asciiTheme="majorHAnsi" w:eastAsia="Times New Roman" w:hAnsiTheme="majorHAnsi" w:cstheme="majorHAnsi"/>
                <w:szCs w:val="24"/>
                <w:lang w:val="hr-HR"/>
              </w:rPr>
              <w:t>zadovoljno s dostupnošću prostornih podataka za pregled i pre</w:t>
            </w:r>
            <w:r w:rsidR="00C030DE">
              <w:rPr>
                <w:rFonts w:asciiTheme="majorHAnsi" w:eastAsia="Times New Roman" w:hAnsiTheme="majorHAnsi" w:cstheme="majorHAnsi"/>
                <w:szCs w:val="24"/>
                <w:lang w:val="hr-HR"/>
              </w:rPr>
              <w:t>uzimanje putem proizvoda NIPP-a.</w:t>
            </w:r>
            <w:r w:rsidR="006E1C06">
              <w:rPr>
                <w:rFonts w:asciiTheme="majorHAnsi" w:eastAsia="Times New Roman" w:hAnsiTheme="majorHAnsi" w:cstheme="majorHAnsi"/>
                <w:szCs w:val="24"/>
                <w:lang w:val="hr-HR"/>
              </w:rPr>
              <w:t xml:space="preserve"> Samo 4% ispitanika nisu bili korisnici podataka, a u kategoriji onih koji su se izjasnili kao korisnici 95% su bili zadovoljni (86% od sveukupnog broja ispitanika).</w:t>
            </w:r>
          </w:p>
          <w:p w14:paraId="38299108" w14:textId="77777777" w:rsidR="00422AF0" w:rsidRDefault="00422AF0" w:rsidP="00E060D5">
            <w:pPr>
              <w:widowControl w:val="0"/>
              <w:spacing w:after="0" w:line="240" w:lineRule="auto"/>
              <w:jc w:val="both"/>
              <w:rPr>
                <w:rFonts w:asciiTheme="majorHAnsi" w:eastAsia="Times New Roman" w:hAnsiTheme="majorHAnsi" w:cstheme="majorHAnsi"/>
                <w:sz w:val="24"/>
                <w:szCs w:val="24"/>
                <w:lang w:val="hr-HR"/>
              </w:rPr>
            </w:pPr>
          </w:p>
          <w:p w14:paraId="2DADC4C3" w14:textId="77777777" w:rsidR="00E95AC1" w:rsidRDefault="00E95AC1" w:rsidP="00E060D5">
            <w:pPr>
              <w:widowControl w:val="0"/>
              <w:spacing w:after="0" w:line="240" w:lineRule="auto"/>
              <w:jc w:val="both"/>
              <w:rPr>
                <w:rFonts w:asciiTheme="majorHAnsi" w:eastAsia="Times New Roman" w:hAnsiTheme="majorHAnsi" w:cstheme="majorHAnsi"/>
                <w:sz w:val="24"/>
                <w:szCs w:val="24"/>
                <w:lang w:val="hr-HR"/>
              </w:rPr>
            </w:pPr>
            <w:r>
              <w:rPr>
                <w:noProof/>
                <w:lang w:val="hr-HR" w:eastAsia="hr-HR"/>
              </w:rPr>
              <w:drawing>
                <wp:inline distT="0" distB="0" distL="0" distR="0" wp14:anchorId="03E769FC" wp14:editId="02F89363">
                  <wp:extent cx="4320000" cy="1836150"/>
                  <wp:effectExtent l="0" t="0" r="444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62330B" w14:textId="77777777" w:rsidR="00E95AC1" w:rsidRPr="00D01227" w:rsidRDefault="00E95AC1" w:rsidP="00E060D5">
            <w:pPr>
              <w:widowControl w:val="0"/>
              <w:spacing w:after="0" w:line="240" w:lineRule="auto"/>
              <w:jc w:val="both"/>
              <w:rPr>
                <w:rFonts w:asciiTheme="majorHAnsi" w:eastAsia="Times New Roman" w:hAnsiTheme="majorHAnsi" w:cstheme="majorHAnsi"/>
                <w:sz w:val="24"/>
                <w:szCs w:val="24"/>
                <w:lang w:val="hr-HR"/>
              </w:rPr>
            </w:pPr>
          </w:p>
          <w:p w14:paraId="184D34C5" w14:textId="546F955D" w:rsidR="00422AF0" w:rsidRPr="00D01227" w:rsidRDefault="00E50818" w:rsidP="00E060D5">
            <w:pPr>
              <w:widowControl w:val="0"/>
              <w:spacing w:after="0" w:line="240" w:lineRule="auto"/>
              <w:jc w:val="both"/>
              <w:rPr>
                <w:rFonts w:asciiTheme="majorHAnsi" w:eastAsia="Times New Roman" w:hAnsiTheme="majorHAnsi" w:cstheme="majorHAnsi"/>
                <w:szCs w:val="24"/>
                <w:lang w:val="hr-HR"/>
              </w:rPr>
            </w:pPr>
            <w:r w:rsidRPr="00461AA0">
              <w:rPr>
                <w:rFonts w:asciiTheme="majorHAnsi" w:eastAsia="Times New Roman" w:hAnsiTheme="majorHAnsi" w:cstheme="majorHAnsi"/>
                <w:szCs w:val="24"/>
                <w:lang w:val="hr-HR"/>
              </w:rPr>
              <w:t xml:space="preserve">Budući da je Strateškim ciljem br. 2 propisan očekivani postotak zadovoljnih korisnika od 100%, vidljivo je da dostupni prostorni podaci </w:t>
            </w:r>
            <w:r>
              <w:rPr>
                <w:rFonts w:asciiTheme="majorHAnsi" w:eastAsia="Times New Roman" w:hAnsiTheme="majorHAnsi" w:cstheme="majorHAnsi"/>
                <w:szCs w:val="24"/>
                <w:lang w:val="hr-HR"/>
              </w:rPr>
              <w:t>većim</w:t>
            </w:r>
            <w:r w:rsidRPr="00461AA0">
              <w:rPr>
                <w:rFonts w:asciiTheme="majorHAnsi" w:eastAsia="Times New Roman" w:hAnsiTheme="majorHAnsi" w:cstheme="majorHAnsi"/>
                <w:szCs w:val="24"/>
                <w:lang w:val="hr-HR"/>
              </w:rPr>
              <w:t xml:space="preserve"> dijelom zadovoljavaju potrebe korisnika</w:t>
            </w:r>
            <w:r>
              <w:rPr>
                <w:rFonts w:asciiTheme="majorHAnsi" w:eastAsia="Times New Roman" w:hAnsiTheme="majorHAnsi" w:cstheme="majorHAnsi"/>
                <w:szCs w:val="24"/>
                <w:lang w:val="hr-HR"/>
              </w:rPr>
              <w:t>, ali isto tako da je potrebno povećati dostupnost prostornih podataka kako bi porastao broj zadovoljnih korisnika</w:t>
            </w:r>
            <w:r w:rsidR="00634E19">
              <w:rPr>
                <w:rFonts w:asciiTheme="majorHAnsi" w:eastAsia="Times New Roman" w:hAnsiTheme="majorHAnsi" w:cstheme="majorHAnsi"/>
                <w:szCs w:val="24"/>
                <w:lang w:val="hr-HR"/>
              </w:rPr>
              <w:t>.</w:t>
            </w:r>
            <w:r w:rsidR="00422AF0" w:rsidRPr="00D01227">
              <w:rPr>
                <w:rFonts w:asciiTheme="majorHAnsi" w:eastAsia="Times New Roman" w:hAnsiTheme="majorHAnsi" w:cstheme="majorHAnsi"/>
                <w:szCs w:val="24"/>
                <w:lang w:val="hr-HR"/>
              </w:rPr>
              <w:t xml:space="preserve"> Ovakav je rezultat u skladu sa slabijim razvojem usluga pregleda i preuzimanja od strane subjekata NIPP-a</w:t>
            </w:r>
            <w:r w:rsidR="00293653">
              <w:rPr>
                <w:rFonts w:asciiTheme="majorHAnsi" w:eastAsia="Times New Roman" w:hAnsiTheme="majorHAnsi" w:cstheme="majorHAnsi"/>
                <w:szCs w:val="24"/>
                <w:lang w:val="hr-HR"/>
              </w:rPr>
              <w:t>, a</w:t>
            </w:r>
            <w:r w:rsidR="00422AF0" w:rsidRPr="00D01227">
              <w:rPr>
                <w:rFonts w:asciiTheme="majorHAnsi" w:eastAsia="Times New Roman" w:hAnsiTheme="majorHAnsi" w:cstheme="majorHAnsi"/>
                <w:szCs w:val="24"/>
                <w:lang w:val="hr-HR"/>
              </w:rPr>
              <w:t xml:space="preserve"> koji s</w:t>
            </w:r>
            <w:r w:rsidR="00293653">
              <w:rPr>
                <w:rFonts w:asciiTheme="majorHAnsi" w:eastAsia="Times New Roman" w:hAnsiTheme="majorHAnsi" w:cstheme="majorHAnsi"/>
                <w:szCs w:val="24"/>
                <w:lang w:val="hr-HR"/>
              </w:rPr>
              <w:t xml:space="preserve">e </w:t>
            </w:r>
            <w:r w:rsidR="00422AF0" w:rsidRPr="00D01227">
              <w:rPr>
                <w:rFonts w:asciiTheme="majorHAnsi" w:eastAsia="Times New Roman" w:hAnsiTheme="majorHAnsi" w:cstheme="majorHAnsi"/>
                <w:szCs w:val="24"/>
                <w:lang w:val="hr-HR"/>
              </w:rPr>
              <w:t xml:space="preserve">ujedno </w:t>
            </w:r>
            <w:r w:rsidR="00293653">
              <w:rPr>
                <w:rFonts w:asciiTheme="majorHAnsi" w:eastAsia="Times New Roman" w:hAnsiTheme="majorHAnsi" w:cstheme="majorHAnsi"/>
                <w:szCs w:val="24"/>
                <w:lang w:val="hr-HR"/>
              </w:rPr>
              <w:t>nalaze i u ulozi korisnika prostornih podataka dostupnih putem NIPP-a.</w:t>
            </w:r>
            <w:r w:rsidR="00422AF0" w:rsidRPr="00D01227">
              <w:rPr>
                <w:rFonts w:asciiTheme="majorHAnsi" w:eastAsia="Times New Roman" w:hAnsiTheme="majorHAnsi" w:cstheme="majorHAnsi"/>
                <w:szCs w:val="24"/>
                <w:lang w:val="hr-HR"/>
              </w:rPr>
              <w:t xml:space="preserve"> Naime, više od pola subjekata NIPP-a u razdoblju 2017.</w:t>
            </w:r>
            <w:r w:rsidR="00293653">
              <w:rPr>
                <w:rFonts w:asciiTheme="majorHAnsi" w:eastAsia="Times New Roman" w:hAnsiTheme="majorHAnsi" w:cstheme="majorHAnsi"/>
                <w:szCs w:val="24"/>
                <w:lang w:val="hr-HR"/>
              </w:rPr>
              <w:t xml:space="preserve"> </w:t>
            </w:r>
            <w:r w:rsidR="00422AF0" w:rsidRPr="00D01227">
              <w:rPr>
                <w:rFonts w:asciiTheme="majorHAnsi" w:eastAsia="Times New Roman" w:hAnsiTheme="majorHAnsi" w:cstheme="majorHAnsi"/>
                <w:szCs w:val="24"/>
                <w:lang w:val="hr-HR"/>
              </w:rPr>
              <w:t>-</w:t>
            </w:r>
            <w:r w:rsidR="00293653">
              <w:rPr>
                <w:rFonts w:asciiTheme="majorHAnsi" w:eastAsia="Times New Roman" w:hAnsiTheme="majorHAnsi" w:cstheme="majorHAnsi"/>
                <w:szCs w:val="24"/>
                <w:lang w:val="hr-HR"/>
              </w:rPr>
              <w:t xml:space="preserve"> </w:t>
            </w:r>
            <w:r w:rsidR="00422AF0" w:rsidRPr="00D01227">
              <w:rPr>
                <w:rFonts w:asciiTheme="majorHAnsi" w:eastAsia="Times New Roman" w:hAnsiTheme="majorHAnsi" w:cstheme="majorHAnsi"/>
                <w:szCs w:val="24"/>
                <w:lang w:val="hr-HR"/>
              </w:rPr>
              <w:t xml:space="preserve">2020. nije razvilo nikakve mrežne usluge, a oni koji jesu, uglavnom </w:t>
            </w:r>
            <w:r w:rsidR="00634E19">
              <w:rPr>
                <w:rFonts w:asciiTheme="majorHAnsi" w:eastAsia="Times New Roman" w:hAnsiTheme="majorHAnsi" w:cstheme="majorHAnsi"/>
                <w:szCs w:val="24"/>
                <w:lang w:val="hr-HR"/>
              </w:rPr>
              <w:t xml:space="preserve">su </w:t>
            </w:r>
            <w:r w:rsidR="00422AF0" w:rsidRPr="00D01227">
              <w:rPr>
                <w:rFonts w:asciiTheme="majorHAnsi" w:eastAsia="Times New Roman" w:hAnsiTheme="majorHAnsi" w:cstheme="majorHAnsi"/>
                <w:szCs w:val="24"/>
                <w:lang w:val="hr-HR"/>
              </w:rPr>
              <w:t>razvili usluge pregleda (WMS</w:t>
            </w:r>
            <w:r w:rsidR="00293653">
              <w:rPr>
                <w:rFonts w:asciiTheme="majorHAnsi" w:eastAsia="Times New Roman" w:hAnsiTheme="majorHAnsi" w:cstheme="majorHAnsi"/>
                <w:szCs w:val="24"/>
                <w:lang w:val="hr-HR"/>
              </w:rPr>
              <w:t>/WMTS</w:t>
            </w:r>
            <w:r w:rsidR="00422AF0" w:rsidRPr="00D01227">
              <w:rPr>
                <w:rFonts w:asciiTheme="majorHAnsi" w:eastAsia="Times New Roman" w:hAnsiTheme="majorHAnsi" w:cstheme="majorHAnsi"/>
                <w:szCs w:val="24"/>
                <w:lang w:val="hr-HR"/>
              </w:rPr>
              <w:t>). Uz već navedene prepreke (financijski, ljudski kapaciteti), ovo ukazuje na nedostatno razumijevanje u pogledu svrhe razvoja mrežnih usluga.</w:t>
            </w:r>
          </w:p>
          <w:p w14:paraId="64EE2223"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p>
          <w:p w14:paraId="1EA077E0" w14:textId="65EE6535" w:rsidR="00293653" w:rsidRPr="00461AA0" w:rsidRDefault="00293653" w:rsidP="00293653">
            <w:pPr>
              <w:widowControl w:val="0"/>
              <w:spacing w:after="0" w:line="240" w:lineRule="auto"/>
              <w:jc w:val="both"/>
              <w:rPr>
                <w:rFonts w:asciiTheme="majorHAnsi" w:eastAsia="Times New Roman" w:hAnsiTheme="majorHAnsi" w:cstheme="majorHAnsi"/>
                <w:szCs w:val="24"/>
                <w:lang w:val="hr-HR"/>
              </w:rPr>
            </w:pPr>
            <w:r w:rsidRPr="00461AA0">
              <w:rPr>
                <w:rFonts w:asciiTheme="majorHAnsi" w:eastAsia="Times New Roman" w:hAnsiTheme="majorHAnsi" w:cstheme="majorHAnsi"/>
                <w:szCs w:val="24"/>
                <w:lang w:val="hr-HR"/>
              </w:rPr>
              <w:t xml:space="preserve">Na sličnom su tragu i odgovori dobiveni na pitanje </w:t>
            </w:r>
            <w:r>
              <w:rPr>
                <w:rFonts w:asciiTheme="majorHAnsi" w:eastAsia="Times New Roman" w:hAnsiTheme="majorHAnsi" w:cstheme="majorHAnsi"/>
                <w:szCs w:val="24"/>
                <w:lang w:val="hr-HR"/>
              </w:rPr>
              <w:t xml:space="preserve">vezano za </w:t>
            </w:r>
            <w:r w:rsidRPr="00461AA0">
              <w:rPr>
                <w:rFonts w:asciiTheme="majorHAnsi" w:eastAsia="Times New Roman" w:hAnsiTheme="majorHAnsi" w:cstheme="majorHAnsi"/>
                <w:szCs w:val="24"/>
                <w:lang w:val="hr-HR"/>
              </w:rPr>
              <w:t>kvalitet</w:t>
            </w:r>
            <w:r>
              <w:rPr>
                <w:rFonts w:asciiTheme="majorHAnsi" w:eastAsia="Times New Roman" w:hAnsiTheme="majorHAnsi" w:cstheme="majorHAnsi"/>
                <w:szCs w:val="24"/>
                <w:lang w:val="hr-HR"/>
              </w:rPr>
              <w:t>u</w:t>
            </w:r>
            <w:r w:rsidRPr="00461AA0">
              <w:rPr>
                <w:rFonts w:asciiTheme="majorHAnsi" w:eastAsia="Times New Roman" w:hAnsiTheme="majorHAnsi" w:cstheme="majorHAnsi"/>
                <w:szCs w:val="24"/>
                <w:lang w:val="hr-HR"/>
              </w:rPr>
              <w:t xml:space="preserve"> skupova podataka i uslug</w:t>
            </w:r>
            <w:r w:rsidR="0098794F">
              <w:rPr>
                <w:rFonts w:asciiTheme="majorHAnsi" w:eastAsia="Times New Roman" w:hAnsiTheme="majorHAnsi" w:cstheme="majorHAnsi"/>
                <w:szCs w:val="24"/>
                <w:lang w:val="hr-HR"/>
              </w:rPr>
              <w:t>a koji su dostupni putem NIPP-a</w:t>
            </w:r>
            <w:r>
              <w:rPr>
                <w:rFonts w:asciiTheme="majorHAnsi" w:eastAsia="Times New Roman" w:hAnsiTheme="majorHAnsi" w:cstheme="majorHAnsi"/>
                <w:szCs w:val="24"/>
                <w:lang w:val="hr-HR"/>
              </w:rPr>
              <w:t>, a koji</w:t>
            </w:r>
            <w:r w:rsidRPr="00461AA0">
              <w:rPr>
                <w:rFonts w:asciiTheme="majorHAnsi" w:eastAsia="Times New Roman" w:hAnsiTheme="majorHAnsi" w:cstheme="majorHAnsi"/>
                <w:szCs w:val="24"/>
                <w:lang w:val="hr-HR"/>
              </w:rPr>
              <w:t xml:space="preserve"> pokazuju da </w:t>
            </w:r>
            <w:r w:rsidR="0098794F">
              <w:rPr>
                <w:rFonts w:asciiTheme="majorHAnsi" w:eastAsia="Times New Roman" w:hAnsiTheme="majorHAnsi" w:cstheme="majorHAnsi"/>
                <w:szCs w:val="24"/>
                <w:lang w:val="hr-HR"/>
              </w:rPr>
              <w:t xml:space="preserve">od onih koji koriste podatke </w:t>
            </w:r>
            <w:r w:rsidRPr="00461AA0">
              <w:rPr>
                <w:rFonts w:asciiTheme="majorHAnsi" w:eastAsia="Times New Roman" w:hAnsiTheme="majorHAnsi" w:cstheme="majorHAnsi"/>
                <w:szCs w:val="24"/>
                <w:lang w:val="hr-HR"/>
              </w:rPr>
              <w:t xml:space="preserve">je približno </w:t>
            </w:r>
            <w:r w:rsidR="0098794F">
              <w:rPr>
                <w:rFonts w:asciiTheme="majorHAnsi" w:eastAsia="Times New Roman" w:hAnsiTheme="majorHAnsi" w:cstheme="majorHAnsi"/>
                <w:szCs w:val="24"/>
                <w:lang w:val="hr-HR"/>
              </w:rPr>
              <w:t>95</w:t>
            </w:r>
            <w:r w:rsidR="006B3E97">
              <w:rPr>
                <w:rFonts w:asciiTheme="majorHAnsi" w:eastAsia="Times New Roman" w:hAnsiTheme="majorHAnsi" w:cstheme="majorHAnsi"/>
                <w:szCs w:val="24"/>
                <w:lang w:val="hr-HR"/>
              </w:rPr>
              <w:t>% istih zadovoljno kvalitetom.</w:t>
            </w:r>
          </w:p>
          <w:p w14:paraId="0D239A14" w14:textId="77777777" w:rsidR="00422AF0" w:rsidRDefault="00422AF0" w:rsidP="00E060D5">
            <w:pPr>
              <w:widowControl w:val="0"/>
              <w:spacing w:after="0" w:line="240" w:lineRule="auto"/>
              <w:jc w:val="both"/>
              <w:rPr>
                <w:rFonts w:asciiTheme="majorHAnsi" w:eastAsia="Times New Roman" w:hAnsiTheme="majorHAnsi" w:cstheme="majorHAnsi"/>
                <w:color w:val="AEAAAA" w:themeColor="background2" w:themeShade="BF"/>
                <w:sz w:val="24"/>
                <w:szCs w:val="24"/>
                <w:lang w:val="hr-HR"/>
              </w:rPr>
            </w:pPr>
          </w:p>
          <w:p w14:paraId="29DAB29B" w14:textId="720313C3" w:rsidR="008D5F01" w:rsidRDefault="0098794F" w:rsidP="00E060D5">
            <w:pPr>
              <w:widowControl w:val="0"/>
              <w:spacing w:after="0" w:line="240" w:lineRule="auto"/>
              <w:jc w:val="both"/>
              <w:rPr>
                <w:rFonts w:asciiTheme="majorHAnsi" w:eastAsia="Times New Roman" w:hAnsiTheme="majorHAnsi" w:cstheme="majorHAnsi"/>
                <w:color w:val="AEAAAA" w:themeColor="background2" w:themeShade="BF"/>
                <w:sz w:val="24"/>
                <w:szCs w:val="24"/>
                <w:lang w:val="hr-HR"/>
              </w:rPr>
            </w:pPr>
            <w:r>
              <w:rPr>
                <w:noProof/>
                <w:lang w:val="hr-HR" w:eastAsia="hr-HR"/>
              </w:rPr>
              <w:drawing>
                <wp:inline distT="0" distB="0" distL="0" distR="0" wp14:anchorId="7B1A0F54" wp14:editId="2B299C31">
                  <wp:extent cx="4526280" cy="1589405"/>
                  <wp:effectExtent l="0" t="0" r="762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02A6C5" w14:textId="77777777" w:rsidR="008D5F01" w:rsidRPr="00D01227" w:rsidRDefault="008D5F01" w:rsidP="00E060D5">
            <w:pPr>
              <w:widowControl w:val="0"/>
              <w:spacing w:after="0" w:line="240" w:lineRule="auto"/>
              <w:jc w:val="both"/>
              <w:rPr>
                <w:rFonts w:asciiTheme="majorHAnsi" w:eastAsia="Times New Roman" w:hAnsiTheme="majorHAnsi" w:cstheme="majorHAnsi"/>
                <w:color w:val="AEAAAA" w:themeColor="background2" w:themeShade="BF"/>
                <w:sz w:val="24"/>
                <w:szCs w:val="24"/>
                <w:lang w:val="hr-HR"/>
              </w:rPr>
            </w:pPr>
          </w:p>
          <w:p w14:paraId="6EC4B1D3" w14:textId="77777777" w:rsidR="00422AF0" w:rsidRPr="00D01227" w:rsidRDefault="00422AF0" w:rsidP="00E060D5">
            <w:pPr>
              <w:widowControl w:val="0"/>
              <w:spacing w:after="0" w:line="240" w:lineRule="auto"/>
              <w:jc w:val="both"/>
              <w:rPr>
                <w:rFonts w:asciiTheme="majorHAnsi" w:eastAsia="Times New Roman" w:hAnsiTheme="majorHAnsi" w:cstheme="majorHAnsi"/>
                <w:szCs w:val="24"/>
                <w:lang w:val="hr-HR"/>
              </w:rPr>
            </w:pPr>
            <w:r w:rsidRPr="00D01227">
              <w:rPr>
                <w:rFonts w:asciiTheme="majorHAnsi" w:eastAsia="Times New Roman" w:hAnsiTheme="majorHAnsi" w:cstheme="majorHAnsi"/>
                <w:szCs w:val="24"/>
                <w:lang w:val="hr-HR"/>
              </w:rPr>
              <w:t xml:space="preserve">Rezultati ovih odgovora ukazuju da je potrebno daljnje podizanje kvalitete dostupnih skupova podataka i usluga, a upravo je podizanje kvalitete izvora naglašavano sudionicima kroz održane NIPP radionice. Jasno je da su potrebni pouzdani, cjeloviti, ažurni, točni i strukturirani podaci kako bi ih krajnji korisnik mogao koristiti za svoje potrebe, a posebice u slučaju razvoja novih proizvoda. Za postizanje boljih rezultata potrebna je harmonizacija podataka i razvoj </w:t>
            </w:r>
            <w:proofErr w:type="spellStart"/>
            <w:r w:rsidRPr="00D01227">
              <w:rPr>
                <w:rFonts w:asciiTheme="majorHAnsi" w:eastAsia="Times New Roman" w:hAnsiTheme="majorHAnsi" w:cstheme="majorHAnsi"/>
                <w:szCs w:val="24"/>
                <w:lang w:val="hr-HR"/>
              </w:rPr>
              <w:t>interoperabilnih</w:t>
            </w:r>
            <w:proofErr w:type="spellEnd"/>
            <w:r w:rsidRPr="00D01227">
              <w:rPr>
                <w:rFonts w:asciiTheme="majorHAnsi" w:eastAsia="Times New Roman" w:hAnsiTheme="majorHAnsi" w:cstheme="majorHAnsi"/>
                <w:szCs w:val="24"/>
                <w:lang w:val="hr-HR"/>
              </w:rPr>
              <w:t xml:space="preserve"> mrežnih usluga.</w:t>
            </w:r>
          </w:p>
          <w:p w14:paraId="0AE6D8D4" w14:textId="77777777" w:rsidR="00422AF0" w:rsidRPr="00D01227" w:rsidRDefault="00422AF0" w:rsidP="00E060D5">
            <w:pPr>
              <w:spacing w:after="0" w:line="240" w:lineRule="auto"/>
              <w:jc w:val="both"/>
              <w:rPr>
                <w:rFonts w:asciiTheme="majorHAnsi" w:eastAsia="Times New Roman" w:hAnsiTheme="majorHAnsi" w:cstheme="majorHAnsi"/>
                <w:bCs/>
                <w:iCs/>
                <w:color w:val="AEAAAA" w:themeColor="background2" w:themeShade="BF"/>
                <w:szCs w:val="24"/>
                <w:lang w:val="hr-HR" w:eastAsia="hr-HR"/>
              </w:rPr>
            </w:pPr>
          </w:p>
          <w:p w14:paraId="36CF3A77" w14:textId="121679B8" w:rsidR="00422AF0" w:rsidRPr="00D01227" w:rsidRDefault="00422AF0" w:rsidP="00C43CE4">
            <w:pPr>
              <w:widowControl w:val="0"/>
              <w:spacing w:after="0" w:line="240" w:lineRule="auto"/>
              <w:jc w:val="both"/>
              <w:rPr>
                <w:rFonts w:asciiTheme="majorHAnsi" w:eastAsia="Times New Roman" w:hAnsiTheme="majorHAnsi" w:cstheme="majorHAnsi"/>
                <w:color w:val="1F4E79" w:themeColor="accent1" w:themeShade="80"/>
                <w:sz w:val="24"/>
                <w:szCs w:val="24"/>
                <w:lang w:val="hr-HR"/>
              </w:rPr>
            </w:pPr>
            <w:r w:rsidRPr="00D01227">
              <w:rPr>
                <w:rFonts w:asciiTheme="majorHAnsi" w:eastAsia="Times New Roman" w:hAnsiTheme="majorHAnsi" w:cstheme="majorHAnsi"/>
                <w:szCs w:val="24"/>
                <w:lang w:val="hr-HR"/>
              </w:rPr>
              <w:t xml:space="preserve">Strategijom NIPP-a je kao plan aktivnosti propisano i održavanje uvodne radionice za </w:t>
            </w:r>
            <w:r w:rsidR="00634E19">
              <w:rPr>
                <w:rFonts w:asciiTheme="majorHAnsi" w:eastAsia="Times New Roman" w:hAnsiTheme="majorHAnsi" w:cstheme="majorHAnsi"/>
                <w:szCs w:val="24"/>
                <w:lang w:val="hr-HR"/>
              </w:rPr>
              <w:t xml:space="preserve">jedinice </w:t>
            </w:r>
            <w:r w:rsidRPr="00D01227">
              <w:rPr>
                <w:rFonts w:asciiTheme="majorHAnsi" w:eastAsia="Times New Roman" w:hAnsiTheme="majorHAnsi" w:cstheme="majorHAnsi"/>
                <w:szCs w:val="24"/>
                <w:lang w:val="hr-HR"/>
              </w:rPr>
              <w:t xml:space="preserve">lokalne samouprave. Tako je u svrhu ispunjavanja ove aktivnosti Državna geodetska uprava organizirala niz radionica namijenjenih predstavnicima jedinica lokalne i područne (regionalne) samouprave. Ove su se radionice održavale u razdoblju od veljače do kraja svibnja 2021. </w:t>
            </w:r>
            <w:r>
              <w:rPr>
                <w:rFonts w:asciiTheme="majorHAnsi" w:eastAsia="Times New Roman" w:hAnsiTheme="majorHAnsi" w:cstheme="majorHAnsi"/>
                <w:szCs w:val="24"/>
                <w:lang w:val="hr-HR"/>
              </w:rPr>
              <w:t xml:space="preserve">godine u </w:t>
            </w:r>
            <w:r w:rsidR="00D054BC">
              <w:rPr>
                <w:rFonts w:asciiTheme="majorHAnsi" w:eastAsia="Times New Roman" w:hAnsiTheme="majorHAnsi" w:cstheme="majorHAnsi"/>
                <w:szCs w:val="24"/>
                <w:lang w:val="hr-HR"/>
              </w:rPr>
              <w:t xml:space="preserve">online </w:t>
            </w:r>
            <w:r>
              <w:rPr>
                <w:rFonts w:asciiTheme="majorHAnsi" w:eastAsia="Times New Roman" w:hAnsiTheme="majorHAnsi" w:cstheme="majorHAnsi"/>
                <w:szCs w:val="24"/>
                <w:lang w:val="hr-HR"/>
              </w:rPr>
              <w:t>obliku</w:t>
            </w:r>
            <w:r w:rsidR="00D054BC">
              <w:rPr>
                <w:rFonts w:asciiTheme="majorHAnsi" w:eastAsia="Times New Roman" w:hAnsiTheme="majorHAnsi" w:cstheme="majorHAnsi"/>
                <w:szCs w:val="24"/>
                <w:lang w:val="hr-HR"/>
              </w:rPr>
              <w:t>.</w:t>
            </w:r>
            <w:r w:rsidRPr="00D01227">
              <w:rPr>
                <w:rFonts w:asciiTheme="majorHAnsi" w:eastAsia="Times New Roman" w:hAnsiTheme="majorHAnsi" w:cstheme="majorHAnsi"/>
                <w:szCs w:val="24"/>
                <w:lang w:val="hr-HR"/>
              </w:rPr>
              <w:t xml:space="preserve"> </w:t>
            </w:r>
            <w:r>
              <w:rPr>
                <w:rFonts w:asciiTheme="majorHAnsi" w:eastAsia="Times New Roman" w:hAnsiTheme="majorHAnsi" w:cstheme="majorHAnsi"/>
                <w:szCs w:val="24"/>
                <w:lang w:val="hr-HR"/>
              </w:rPr>
              <w:t xml:space="preserve">Planirane radionice izlaze iz izvještajnog razdoblja zbog epidemije COVID-19. Naime, određeno se vrijeme čekalo u nadi da će se situacija popraviti kako bi se radionice mogle održati u živo, no budući da do toga nije došlo, održane su online radionice početkom 2021. godine. </w:t>
            </w:r>
            <w:r w:rsidRPr="00D01227">
              <w:rPr>
                <w:rFonts w:asciiTheme="majorHAnsi" w:eastAsia="Times New Roman" w:hAnsiTheme="majorHAnsi" w:cstheme="majorHAnsi"/>
                <w:szCs w:val="24"/>
                <w:lang w:val="hr-HR"/>
              </w:rPr>
              <w:t xml:space="preserve">Ukupno je održano 11 radionica na kojima su sudjelovali predstavnici iz 247 različitih jedinica lokalne i područne (regionalne) samouprave, a njihovo je održavanje organizirano u okviru provedbe projekta Državne geodetske uprave „Jačanje kapaciteta za uspostavu NIPP-a, koji je </w:t>
            </w:r>
            <w:r w:rsidRPr="00D01227">
              <w:rPr>
                <w:rFonts w:asciiTheme="majorHAnsi" w:eastAsia="Times New Roman" w:hAnsiTheme="majorHAnsi" w:cstheme="majorHAnsi"/>
                <w:szCs w:val="24"/>
                <w:lang w:val="hr-HR"/>
              </w:rPr>
              <w:lastRenderedPageBreak/>
              <w:t>sufinanciran sredstvima Europskog socijalnog fonda. Glavna je namjena ovih radionica bila upoznavanje s osnovama NIPP-a i postupkom uključivanja u njega, kako bi jedinice lokalne i područne (regionalne) samouprave po njihovom završetku mogle samostalno izvršavati obveze i aktivnosti koje proizlaze iz Zakona o NIPP-u</w:t>
            </w:r>
            <w:r w:rsidR="00C43CE4">
              <w:rPr>
                <w:rFonts w:asciiTheme="majorHAnsi" w:eastAsia="Times New Roman" w:hAnsiTheme="majorHAnsi" w:cstheme="majorHAnsi"/>
                <w:szCs w:val="24"/>
                <w:lang w:val="hr-HR"/>
              </w:rPr>
              <w:t>.</w:t>
            </w:r>
            <w:r w:rsidR="00C43CE4" w:rsidRPr="00D01227">
              <w:rPr>
                <w:rFonts w:asciiTheme="majorHAnsi" w:eastAsia="Times New Roman" w:hAnsiTheme="majorHAnsi" w:cstheme="majorHAnsi"/>
                <w:color w:val="1F4E79" w:themeColor="accent1" w:themeShade="80"/>
                <w:sz w:val="24"/>
                <w:szCs w:val="24"/>
                <w:lang w:val="hr-HR"/>
              </w:rPr>
              <w:t xml:space="preserve"> </w:t>
            </w:r>
          </w:p>
        </w:tc>
      </w:tr>
      <w:tr w:rsidR="00422AF0" w:rsidRPr="00D01227" w14:paraId="12989C4F" w14:textId="77777777" w:rsidTr="00914E02">
        <w:trPr>
          <w:trHeight w:val="292"/>
        </w:trPr>
        <w:tc>
          <w:tcPr>
            <w:tcW w:w="2295" w:type="dxa"/>
            <w:shd w:val="clear" w:color="auto" w:fill="auto"/>
            <w:noWrap/>
            <w:vAlign w:val="center"/>
          </w:tcPr>
          <w:p w14:paraId="505699F8"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lastRenderedPageBreak/>
              <w:t>Rok provedbe</w:t>
            </w:r>
          </w:p>
        </w:tc>
        <w:tc>
          <w:tcPr>
            <w:tcW w:w="7344" w:type="dxa"/>
            <w:gridSpan w:val="4"/>
            <w:shd w:val="clear" w:color="auto" w:fill="auto"/>
            <w:vAlign w:val="center"/>
          </w:tcPr>
          <w:p w14:paraId="255D97E3"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31.12.2020.</w:t>
            </w:r>
          </w:p>
        </w:tc>
      </w:tr>
      <w:tr w:rsidR="00422AF0" w:rsidRPr="00D01227" w14:paraId="5D2C6593" w14:textId="77777777" w:rsidTr="00914E02">
        <w:trPr>
          <w:trHeight w:val="292"/>
        </w:trPr>
        <w:tc>
          <w:tcPr>
            <w:tcW w:w="2295" w:type="dxa"/>
            <w:shd w:val="clear" w:color="auto" w:fill="auto"/>
            <w:noWrap/>
            <w:vAlign w:val="center"/>
          </w:tcPr>
          <w:p w14:paraId="03B14910"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Iznos planiranih i utrošenih sredstava</w:t>
            </w:r>
          </w:p>
        </w:tc>
        <w:tc>
          <w:tcPr>
            <w:tcW w:w="3708" w:type="dxa"/>
            <w:shd w:val="clear" w:color="auto" w:fill="auto"/>
            <w:vAlign w:val="center"/>
          </w:tcPr>
          <w:p w14:paraId="434C8D6E"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Planirano: 10.</w:t>
            </w:r>
            <w:r>
              <w:rPr>
                <w:rFonts w:asciiTheme="majorHAnsi" w:eastAsia="Times New Roman" w:hAnsiTheme="majorHAnsi" w:cstheme="majorHAnsi"/>
                <w:bCs/>
                <w:iCs/>
                <w:szCs w:val="24"/>
                <w:lang w:val="hr-HR" w:eastAsia="hr-HR"/>
              </w:rPr>
              <w:t>846.4</w:t>
            </w:r>
            <w:r w:rsidRPr="00D01227">
              <w:rPr>
                <w:rFonts w:asciiTheme="majorHAnsi" w:eastAsia="Times New Roman" w:hAnsiTheme="majorHAnsi" w:cstheme="majorHAnsi"/>
                <w:bCs/>
                <w:iCs/>
                <w:szCs w:val="24"/>
                <w:lang w:val="hr-HR" w:eastAsia="hr-HR"/>
              </w:rPr>
              <w:t>00,00 kn</w:t>
            </w:r>
          </w:p>
        </w:tc>
        <w:tc>
          <w:tcPr>
            <w:tcW w:w="3636" w:type="dxa"/>
            <w:gridSpan w:val="3"/>
            <w:shd w:val="clear" w:color="auto" w:fill="auto"/>
            <w:vAlign w:val="center"/>
          </w:tcPr>
          <w:p w14:paraId="6ADA8BA7" w14:textId="77777777" w:rsidR="00422AF0" w:rsidRPr="00D01227" w:rsidRDefault="00422AF0" w:rsidP="00914E02">
            <w:pPr>
              <w:spacing w:after="0" w:line="240" w:lineRule="auto"/>
              <w:rPr>
                <w:rFonts w:asciiTheme="majorHAnsi" w:eastAsia="Times New Roman" w:hAnsiTheme="majorHAnsi" w:cstheme="majorHAnsi"/>
                <w:bCs/>
                <w:iCs/>
                <w:color w:val="AEAAAA" w:themeColor="background2" w:themeShade="BF"/>
                <w:szCs w:val="24"/>
                <w:lang w:val="hr-HR" w:eastAsia="hr-HR"/>
              </w:rPr>
            </w:pPr>
            <w:r w:rsidRPr="00D01227">
              <w:rPr>
                <w:rFonts w:asciiTheme="majorHAnsi" w:eastAsia="Times New Roman" w:hAnsiTheme="majorHAnsi" w:cstheme="majorHAnsi"/>
                <w:bCs/>
                <w:iCs/>
                <w:szCs w:val="24"/>
                <w:lang w:val="hr-HR" w:eastAsia="hr-HR"/>
              </w:rPr>
              <w:t xml:space="preserve">Utrošeno: </w:t>
            </w:r>
            <w:r>
              <w:rPr>
                <w:rFonts w:asciiTheme="majorHAnsi" w:eastAsia="Times New Roman" w:hAnsiTheme="majorHAnsi" w:cstheme="majorHAnsi"/>
                <w:bCs/>
                <w:iCs/>
                <w:szCs w:val="24"/>
                <w:lang w:val="hr-HR" w:eastAsia="hr-HR"/>
              </w:rPr>
              <w:t>9.275.741,24</w:t>
            </w:r>
            <w:r w:rsidRPr="00D01227">
              <w:rPr>
                <w:rFonts w:asciiTheme="majorHAnsi" w:eastAsia="Times New Roman" w:hAnsiTheme="majorHAnsi" w:cstheme="majorHAnsi"/>
                <w:bCs/>
                <w:iCs/>
                <w:szCs w:val="24"/>
                <w:lang w:val="hr-HR" w:eastAsia="hr-HR"/>
              </w:rPr>
              <w:t xml:space="preserve"> kn</w:t>
            </w:r>
          </w:p>
        </w:tc>
      </w:tr>
      <w:tr w:rsidR="00422AF0" w:rsidRPr="00D01227" w14:paraId="2DF40991" w14:textId="77777777" w:rsidTr="00914E02">
        <w:trPr>
          <w:trHeight w:val="292"/>
        </w:trPr>
        <w:tc>
          <w:tcPr>
            <w:tcW w:w="2295" w:type="dxa"/>
            <w:shd w:val="clear" w:color="auto" w:fill="auto"/>
            <w:noWrap/>
            <w:vAlign w:val="center"/>
          </w:tcPr>
          <w:p w14:paraId="0B41A56D" w14:textId="77777777" w:rsidR="00422AF0" w:rsidRPr="00D01227" w:rsidRDefault="00422AF0" w:rsidP="00914E02">
            <w:pPr>
              <w:spacing w:after="0" w:line="240" w:lineRule="auto"/>
              <w:rPr>
                <w:rFonts w:asciiTheme="majorHAnsi" w:eastAsia="Times New Roman" w:hAnsiTheme="majorHAnsi" w:cstheme="majorHAnsi"/>
                <w:bCs/>
                <w:iCs/>
                <w:color w:val="767171" w:themeColor="background2" w:themeShade="80"/>
                <w:szCs w:val="24"/>
                <w:lang w:val="hr-HR" w:eastAsia="hr-HR"/>
              </w:rPr>
            </w:pPr>
            <w:r w:rsidRPr="00D01227">
              <w:rPr>
                <w:rFonts w:asciiTheme="majorHAnsi" w:eastAsia="Times New Roman" w:hAnsiTheme="majorHAnsi" w:cstheme="majorHAnsi"/>
                <w:bCs/>
                <w:iCs/>
                <w:szCs w:val="24"/>
                <w:lang w:val="hr-HR" w:eastAsia="hr-HR"/>
              </w:rPr>
              <w:t>Izvor sredstava</w:t>
            </w:r>
          </w:p>
        </w:tc>
        <w:tc>
          <w:tcPr>
            <w:tcW w:w="7344" w:type="dxa"/>
            <w:gridSpan w:val="4"/>
            <w:shd w:val="clear" w:color="auto" w:fill="auto"/>
            <w:vAlign w:val="center"/>
          </w:tcPr>
          <w:p w14:paraId="70740516" w14:textId="77777777" w:rsidR="00422AF0" w:rsidRPr="00D01227" w:rsidRDefault="00422AF0" w:rsidP="00E060D5">
            <w:pPr>
              <w:spacing w:after="0" w:line="240" w:lineRule="auto"/>
              <w:jc w:val="both"/>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Tijela javne vlasti su uglavnom koristila državna sredstva ili nacionalna sredstva koja nisu u državnom proračunu, dok su trgovačka društva u vlasništvu Republike Hrvatske uglavnom koristila vlastita sredstva. Kao drugi mogući izvor sredstava i kod tijela javne vlasti i kod trgovačkih društava navedena su EU sredstva.</w:t>
            </w:r>
          </w:p>
        </w:tc>
      </w:tr>
      <w:tr w:rsidR="00422AF0" w:rsidRPr="00D01227" w14:paraId="69233257" w14:textId="77777777" w:rsidTr="00914E02">
        <w:trPr>
          <w:trHeight w:val="292"/>
        </w:trPr>
        <w:tc>
          <w:tcPr>
            <w:tcW w:w="2295" w:type="dxa"/>
            <w:shd w:val="clear" w:color="auto" w:fill="auto"/>
            <w:noWrap/>
            <w:vAlign w:val="center"/>
          </w:tcPr>
          <w:p w14:paraId="061FBACC" w14:textId="77777777" w:rsidR="00422AF0" w:rsidRPr="00D01227" w:rsidRDefault="00422AF0" w:rsidP="00914E02">
            <w:pPr>
              <w:spacing w:after="0" w:line="240" w:lineRule="auto"/>
              <w:rPr>
                <w:rFonts w:asciiTheme="majorHAnsi" w:eastAsia="Times New Roman" w:hAnsiTheme="majorHAnsi" w:cstheme="majorHAnsi"/>
                <w:bCs/>
                <w:iCs/>
                <w:szCs w:val="24"/>
                <w:lang w:val="hr-HR" w:eastAsia="hr-HR"/>
              </w:rPr>
            </w:pPr>
            <w:r w:rsidRPr="00D01227">
              <w:rPr>
                <w:rFonts w:asciiTheme="majorHAnsi" w:eastAsia="Times New Roman" w:hAnsiTheme="majorHAnsi" w:cstheme="majorHAnsi"/>
                <w:bCs/>
                <w:iCs/>
                <w:szCs w:val="24"/>
                <w:lang w:val="hr-HR" w:eastAsia="hr-HR"/>
              </w:rPr>
              <w:t>Rezultati provedbe</w:t>
            </w:r>
          </w:p>
        </w:tc>
        <w:tc>
          <w:tcPr>
            <w:tcW w:w="7344" w:type="dxa"/>
            <w:gridSpan w:val="4"/>
            <w:shd w:val="clear" w:color="auto" w:fill="auto"/>
            <w:vAlign w:val="center"/>
          </w:tcPr>
          <w:p w14:paraId="0A4DE3A7" w14:textId="651B4BE4" w:rsidR="00422AF0" w:rsidRPr="00D01227" w:rsidRDefault="00634E19" w:rsidP="00914E02">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Cilj je većinom ispunjen</w:t>
            </w:r>
            <w:r w:rsidR="00422AF0" w:rsidRPr="00D01227">
              <w:rPr>
                <w:rFonts w:asciiTheme="majorHAnsi" w:eastAsia="Times New Roman" w:hAnsiTheme="majorHAnsi" w:cstheme="majorHAnsi"/>
                <w:bCs/>
                <w:iCs/>
                <w:szCs w:val="24"/>
                <w:lang w:val="hr-HR" w:eastAsia="hr-HR"/>
              </w:rPr>
              <w:t xml:space="preserve"> te je daljnja provedba u tijeku. </w:t>
            </w:r>
          </w:p>
        </w:tc>
      </w:tr>
    </w:tbl>
    <w:p w14:paraId="064F280C" w14:textId="77777777" w:rsidR="00317ED1" w:rsidRDefault="00317ED1" w:rsidP="002D5A85">
      <w:pPr>
        <w:rPr>
          <w:lang w:val="hr-HR"/>
        </w:rPr>
      </w:pPr>
    </w:p>
    <w:p w14:paraId="25C0122D" w14:textId="77777777" w:rsidR="00D20C38" w:rsidRDefault="00D20C38" w:rsidP="008C1448">
      <w:pPr>
        <w:pStyle w:val="Heading2"/>
        <w:numPr>
          <w:ilvl w:val="1"/>
          <w:numId w:val="2"/>
        </w:numPr>
        <w:rPr>
          <w:color w:val="auto"/>
        </w:rPr>
      </w:pPr>
      <w:bookmarkStart w:id="21" w:name="_Toc89761122"/>
      <w:r w:rsidRPr="00DF7D9C">
        <w:rPr>
          <w:color w:val="auto"/>
        </w:rPr>
        <w:t>Strateški cilj br. 3: Uvjeti i naknade za korištenje prostornih podataka lako su razumljivi</w:t>
      </w:r>
      <w:bookmarkEnd w:id="21"/>
    </w:p>
    <w:p w14:paraId="54861C91" w14:textId="77777777" w:rsidR="00C623B6" w:rsidRPr="00C623B6" w:rsidRDefault="00C623B6" w:rsidP="00C623B6">
      <w:pPr>
        <w:rPr>
          <w:lang w:val="hr-HR"/>
        </w:rPr>
      </w:pPr>
    </w:p>
    <w:tbl>
      <w:tblPr>
        <w:tblW w:w="963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95"/>
        <w:gridCol w:w="3673"/>
        <w:gridCol w:w="831"/>
        <w:gridCol w:w="1418"/>
        <w:gridCol w:w="1422"/>
      </w:tblGrid>
      <w:tr w:rsidR="00D37C20" w:rsidRPr="00454565" w14:paraId="554F4175" w14:textId="77777777" w:rsidTr="007D4F15">
        <w:trPr>
          <w:trHeight w:val="1042"/>
        </w:trPr>
        <w:tc>
          <w:tcPr>
            <w:tcW w:w="2295" w:type="dxa"/>
            <w:shd w:val="clear" w:color="auto" w:fill="auto"/>
            <w:noWrap/>
            <w:vAlign w:val="center"/>
          </w:tcPr>
          <w:p w14:paraId="3802C6CF" w14:textId="77777777" w:rsidR="00D37C20" w:rsidRPr="00DF7D9C" w:rsidRDefault="00D37C20"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Planirani operativni ciljevi</w:t>
            </w:r>
          </w:p>
        </w:tc>
        <w:tc>
          <w:tcPr>
            <w:tcW w:w="7344" w:type="dxa"/>
            <w:gridSpan w:val="4"/>
            <w:shd w:val="clear" w:color="auto" w:fill="auto"/>
            <w:vAlign w:val="center"/>
          </w:tcPr>
          <w:p w14:paraId="5D91CEC3" w14:textId="77777777" w:rsidR="00D37C20" w:rsidRPr="00DF7D9C" w:rsidRDefault="00D37C20" w:rsidP="008C1448">
            <w:pPr>
              <w:pStyle w:val="ListParagraph"/>
              <w:numPr>
                <w:ilvl w:val="0"/>
                <w:numId w:val="4"/>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Predložiti politike dijeljenja podataka</w:t>
            </w:r>
          </w:p>
          <w:p w14:paraId="3DB5E755" w14:textId="77777777" w:rsidR="00D37C20" w:rsidRPr="00DF7D9C" w:rsidRDefault="00D37C20" w:rsidP="008C1448">
            <w:pPr>
              <w:pStyle w:val="ListParagraph"/>
              <w:numPr>
                <w:ilvl w:val="0"/>
                <w:numId w:val="4"/>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Testirati politike dijeljenja podataka</w:t>
            </w:r>
          </w:p>
          <w:p w14:paraId="06786F37" w14:textId="77777777" w:rsidR="00D37C20" w:rsidRPr="00DF7D9C" w:rsidRDefault="00D37C20" w:rsidP="008C1448">
            <w:pPr>
              <w:pStyle w:val="ListParagraph"/>
              <w:numPr>
                <w:ilvl w:val="0"/>
                <w:numId w:val="4"/>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Provesti politike dijeljenja podataka</w:t>
            </w:r>
          </w:p>
        </w:tc>
      </w:tr>
      <w:tr w:rsidR="00D37C20" w:rsidRPr="00454565" w14:paraId="52B771C6" w14:textId="77777777" w:rsidTr="007D4F15">
        <w:trPr>
          <w:trHeight w:val="292"/>
        </w:trPr>
        <w:tc>
          <w:tcPr>
            <w:tcW w:w="2295" w:type="dxa"/>
            <w:shd w:val="clear" w:color="auto" w:fill="auto"/>
            <w:noWrap/>
            <w:vAlign w:val="center"/>
          </w:tcPr>
          <w:p w14:paraId="5C8F1359" w14:textId="77777777" w:rsidR="00D37C20" w:rsidRPr="00DF7D9C" w:rsidRDefault="00D37C20"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Nadležna tijela</w:t>
            </w:r>
          </w:p>
        </w:tc>
        <w:tc>
          <w:tcPr>
            <w:tcW w:w="7344" w:type="dxa"/>
            <w:gridSpan w:val="4"/>
            <w:shd w:val="clear" w:color="auto" w:fill="auto"/>
            <w:vAlign w:val="center"/>
          </w:tcPr>
          <w:p w14:paraId="77E6221C" w14:textId="77777777" w:rsidR="00D37C20" w:rsidRPr="00B66DBF" w:rsidRDefault="00D37C20"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DGU (NKT) u suradnji sa subjektima sukladno Prilogu II. Strategije</w:t>
            </w:r>
          </w:p>
        </w:tc>
      </w:tr>
      <w:tr w:rsidR="00D37C20" w:rsidRPr="00454565" w14:paraId="1FD3820B" w14:textId="77777777" w:rsidTr="007D4F15">
        <w:trPr>
          <w:trHeight w:val="135"/>
        </w:trPr>
        <w:tc>
          <w:tcPr>
            <w:tcW w:w="2295" w:type="dxa"/>
            <w:vMerge w:val="restart"/>
            <w:shd w:val="clear" w:color="auto" w:fill="auto"/>
            <w:noWrap/>
            <w:vAlign w:val="center"/>
          </w:tcPr>
          <w:p w14:paraId="62949E75" w14:textId="77777777" w:rsidR="00D37C20" w:rsidRPr="00DF7D9C" w:rsidRDefault="00D37C20"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Pokazatelji</w:t>
            </w:r>
          </w:p>
        </w:tc>
        <w:tc>
          <w:tcPr>
            <w:tcW w:w="4504" w:type="dxa"/>
            <w:gridSpan w:val="2"/>
            <w:shd w:val="clear" w:color="auto" w:fill="auto"/>
            <w:vAlign w:val="center"/>
          </w:tcPr>
          <w:p w14:paraId="7A8FCD0F" w14:textId="77777777" w:rsidR="00D37C20" w:rsidRPr="0042018F" w:rsidRDefault="00D37C20" w:rsidP="007D4F15">
            <w:pPr>
              <w:spacing w:after="0" w:line="240" w:lineRule="auto"/>
              <w:rPr>
                <w:rFonts w:asciiTheme="majorHAnsi" w:eastAsia="Times New Roman" w:hAnsiTheme="majorHAnsi" w:cstheme="majorHAnsi"/>
                <w:bCs/>
                <w:iCs/>
                <w:szCs w:val="24"/>
                <w:lang w:val="hr-HR" w:eastAsia="hr-HR"/>
              </w:rPr>
            </w:pPr>
          </w:p>
        </w:tc>
        <w:tc>
          <w:tcPr>
            <w:tcW w:w="1418" w:type="dxa"/>
            <w:shd w:val="clear" w:color="auto" w:fill="auto"/>
            <w:vAlign w:val="center"/>
          </w:tcPr>
          <w:p w14:paraId="79BAC17D"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sidRPr="0042018F">
              <w:rPr>
                <w:rFonts w:asciiTheme="majorHAnsi" w:eastAsia="Times New Roman" w:hAnsiTheme="majorHAnsi" w:cstheme="majorHAnsi"/>
                <w:bCs/>
                <w:iCs/>
                <w:szCs w:val="24"/>
                <w:lang w:val="hr-HR" w:eastAsia="hr-HR"/>
              </w:rPr>
              <w:t>Planirano</w:t>
            </w:r>
          </w:p>
        </w:tc>
        <w:tc>
          <w:tcPr>
            <w:tcW w:w="1422" w:type="dxa"/>
            <w:shd w:val="clear" w:color="auto" w:fill="auto"/>
            <w:vAlign w:val="center"/>
          </w:tcPr>
          <w:p w14:paraId="0C9DE128"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sidRPr="0042018F">
              <w:rPr>
                <w:rFonts w:asciiTheme="majorHAnsi" w:eastAsia="Times New Roman" w:hAnsiTheme="majorHAnsi" w:cstheme="majorHAnsi"/>
                <w:bCs/>
                <w:iCs/>
                <w:szCs w:val="24"/>
                <w:lang w:val="hr-HR" w:eastAsia="hr-HR"/>
              </w:rPr>
              <w:t>Ostvareno</w:t>
            </w:r>
          </w:p>
        </w:tc>
      </w:tr>
      <w:tr w:rsidR="00D37C20" w:rsidRPr="00454565" w14:paraId="64719417" w14:textId="77777777" w:rsidTr="007D4F15">
        <w:trPr>
          <w:trHeight w:val="135"/>
        </w:trPr>
        <w:tc>
          <w:tcPr>
            <w:tcW w:w="2295" w:type="dxa"/>
            <w:vMerge/>
            <w:shd w:val="clear" w:color="auto" w:fill="auto"/>
            <w:noWrap/>
            <w:vAlign w:val="center"/>
          </w:tcPr>
          <w:p w14:paraId="1030908E" w14:textId="77777777" w:rsidR="00D37C20" w:rsidRDefault="00D37C20" w:rsidP="007D4F15">
            <w:pPr>
              <w:spacing w:after="0" w:line="240" w:lineRule="auto"/>
              <w:rPr>
                <w:rFonts w:asciiTheme="majorHAnsi" w:eastAsia="Times New Roman" w:hAnsiTheme="majorHAnsi" w:cstheme="majorHAnsi"/>
                <w:bCs/>
                <w:iCs/>
                <w:szCs w:val="24"/>
                <w:lang w:val="hr-HR" w:eastAsia="hr-HR"/>
              </w:rPr>
            </w:pPr>
          </w:p>
        </w:tc>
        <w:tc>
          <w:tcPr>
            <w:tcW w:w="4504" w:type="dxa"/>
            <w:gridSpan w:val="2"/>
            <w:shd w:val="clear" w:color="auto" w:fill="auto"/>
            <w:vAlign w:val="center"/>
          </w:tcPr>
          <w:p w14:paraId="32263FAC" w14:textId="77777777" w:rsidR="00D37C20" w:rsidRPr="0042018F" w:rsidRDefault="00D37C20" w:rsidP="007D4F15">
            <w:pPr>
              <w:spacing w:after="0" w:line="240" w:lineRule="auto"/>
              <w:rPr>
                <w:rFonts w:asciiTheme="majorHAnsi" w:eastAsia="Times New Roman" w:hAnsiTheme="majorHAnsi" w:cstheme="majorHAnsi"/>
                <w:bCs/>
                <w:iCs/>
                <w:szCs w:val="24"/>
                <w:lang w:val="hr-HR" w:eastAsia="hr-HR"/>
              </w:rPr>
            </w:pPr>
            <w:r w:rsidRPr="0042018F">
              <w:rPr>
                <w:rFonts w:asciiTheme="majorHAnsi" w:eastAsia="Times New Roman" w:hAnsiTheme="majorHAnsi" w:cstheme="majorHAnsi"/>
                <w:bCs/>
                <w:iCs/>
                <w:szCs w:val="24"/>
                <w:lang w:val="hr-HR" w:eastAsia="hr-HR"/>
              </w:rPr>
              <w:t>Broj predloženih politika dijeljenja podataka</w:t>
            </w:r>
          </w:p>
        </w:tc>
        <w:tc>
          <w:tcPr>
            <w:tcW w:w="1418" w:type="dxa"/>
            <w:shd w:val="clear" w:color="auto" w:fill="auto"/>
            <w:vAlign w:val="center"/>
          </w:tcPr>
          <w:p w14:paraId="00658A25"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w:t>
            </w:r>
          </w:p>
        </w:tc>
        <w:tc>
          <w:tcPr>
            <w:tcW w:w="1422" w:type="dxa"/>
            <w:shd w:val="clear" w:color="auto" w:fill="auto"/>
            <w:vAlign w:val="center"/>
          </w:tcPr>
          <w:p w14:paraId="52716D0E"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8</w:t>
            </w:r>
          </w:p>
        </w:tc>
      </w:tr>
      <w:tr w:rsidR="00D37C20" w:rsidRPr="00454565" w14:paraId="2E0B62D9" w14:textId="77777777" w:rsidTr="007D4F15">
        <w:trPr>
          <w:trHeight w:val="138"/>
        </w:trPr>
        <w:tc>
          <w:tcPr>
            <w:tcW w:w="2295" w:type="dxa"/>
            <w:vMerge/>
            <w:shd w:val="clear" w:color="auto" w:fill="auto"/>
            <w:noWrap/>
            <w:vAlign w:val="center"/>
          </w:tcPr>
          <w:p w14:paraId="744B350E" w14:textId="77777777" w:rsidR="00D37C20" w:rsidRDefault="00D37C20" w:rsidP="007D4F15">
            <w:pPr>
              <w:spacing w:after="0" w:line="240" w:lineRule="auto"/>
              <w:rPr>
                <w:rFonts w:asciiTheme="majorHAnsi" w:eastAsia="Times New Roman" w:hAnsiTheme="majorHAnsi" w:cstheme="majorHAnsi"/>
                <w:bCs/>
                <w:iCs/>
                <w:szCs w:val="24"/>
                <w:lang w:val="hr-HR" w:eastAsia="hr-HR"/>
              </w:rPr>
            </w:pPr>
          </w:p>
        </w:tc>
        <w:tc>
          <w:tcPr>
            <w:tcW w:w="4504" w:type="dxa"/>
            <w:gridSpan w:val="2"/>
            <w:shd w:val="clear" w:color="auto" w:fill="auto"/>
            <w:vAlign w:val="center"/>
          </w:tcPr>
          <w:p w14:paraId="043F6036" w14:textId="77777777" w:rsidR="00D37C20" w:rsidRPr="0042018F" w:rsidRDefault="00D37C20" w:rsidP="007D4F15">
            <w:pPr>
              <w:spacing w:after="0" w:line="240" w:lineRule="auto"/>
              <w:rPr>
                <w:rFonts w:asciiTheme="majorHAnsi" w:eastAsia="Times New Roman" w:hAnsiTheme="majorHAnsi" w:cstheme="majorHAnsi"/>
                <w:bCs/>
                <w:iCs/>
                <w:szCs w:val="24"/>
                <w:lang w:val="hr-HR" w:eastAsia="hr-HR"/>
              </w:rPr>
            </w:pPr>
            <w:r w:rsidRPr="0042018F">
              <w:rPr>
                <w:rFonts w:asciiTheme="majorHAnsi" w:eastAsia="Times New Roman" w:hAnsiTheme="majorHAnsi" w:cstheme="majorHAnsi"/>
                <w:bCs/>
                <w:iCs/>
                <w:szCs w:val="24"/>
                <w:lang w:val="hr-HR" w:eastAsia="hr-HR"/>
              </w:rPr>
              <w:t>Broj testiranih politika dijeljenja podataka</w:t>
            </w:r>
          </w:p>
        </w:tc>
        <w:tc>
          <w:tcPr>
            <w:tcW w:w="1418" w:type="dxa"/>
            <w:shd w:val="clear" w:color="auto" w:fill="auto"/>
            <w:vAlign w:val="center"/>
          </w:tcPr>
          <w:p w14:paraId="0E5AB07E"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w:t>
            </w:r>
          </w:p>
        </w:tc>
        <w:tc>
          <w:tcPr>
            <w:tcW w:w="1422" w:type="dxa"/>
            <w:shd w:val="clear" w:color="auto" w:fill="auto"/>
            <w:vAlign w:val="center"/>
          </w:tcPr>
          <w:p w14:paraId="48318014"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w:t>
            </w:r>
          </w:p>
        </w:tc>
      </w:tr>
      <w:tr w:rsidR="00D37C20" w:rsidRPr="00454565" w14:paraId="029540EB" w14:textId="77777777" w:rsidTr="007D4F15">
        <w:trPr>
          <w:trHeight w:val="138"/>
        </w:trPr>
        <w:tc>
          <w:tcPr>
            <w:tcW w:w="2295" w:type="dxa"/>
            <w:vMerge/>
            <w:shd w:val="clear" w:color="auto" w:fill="auto"/>
            <w:noWrap/>
            <w:vAlign w:val="center"/>
          </w:tcPr>
          <w:p w14:paraId="05DBE1AC" w14:textId="77777777" w:rsidR="00D37C20" w:rsidRDefault="00D37C20" w:rsidP="007D4F15">
            <w:pPr>
              <w:spacing w:after="0" w:line="240" w:lineRule="auto"/>
              <w:rPr>
                <w:rFonts w:asciiTheme="majorHAnsi" w:eastAsia="Times New Roman" w:hAnsiTheme="majorHAnsi" w:cstheme="majorHAnsi"/>
                <w:bCs/>
                <w:iCs/>
                <w:szCs w:val="24"/>
                <w:lang w:val="hr-HR" w:eastAsia="hr-HR"/>
              </w:rPr>
            </w:pPr>
          </w:p>
        </w:tc>
        <w:tc>
          <w:tcPr>
            <w:tcW w:w="4504" w:type="dxa"/>
            <w:gridSpan w:val="2"/>
            <w:shd w:val="clear" w:color="auto" w:fill="auto"/>
            <w:vAlign w:val="center"/>
          </w:tcPr>
          <w:p w14:paraId="5F6D37DC" w14:textId="77777777" w:rsidR="00D37C20" w:rsidRPr="0042018F" w:rsidRDefault="00D37C20" w:rsidP="007D4F15">
            <w:pPr>
              <w:spacing w:after="0" w:line="240" w:lineRule="auto"/>
              <w:rPr>
                <w:rFonts w:asciiTheme="majorHAnsi" w:eastAsia="Times New Roman" w:hAnsiTheme="majorHAnsi" w:cstheme="majorHAnsi"/>
                <w:bCs/>
                <w:iCs/>
                <w:szCs w:val="24"/>
                <w:lang w:val="hr-HR" w:eastAsia="hr-HR"/>
              </w:rPr>
            </w:pPr>
            <w:r w:rsidRPr="0042018F">
              <w:rPr>
                <w:rFonts w:asciiTheme="majorHAnsi" w:eastAsia="Times New Roman" w:hAnsiTheme="majorHAnsi" w:cstheme="majorHAnsi"/>
                <w:bCs/>
                <w:iCs/>
                <w:szCs w:val="24"/>
                <w:lang w:val="hr-HR" w:eastAsia="hr-HR"/>
              </w:rPr>
              <w:t>Broj provedenih politika dijeljenja podataka</w:t>
            </w:r>
          </w:p>
        </w:tc>
        <w:tc>
          <w:tcPr>
            <w:tcW w:w="1418" w:type="dxa"/>
            <w:shd w:val="clear" w:color="auto" w:fill="auto"/>
            <w:vAlign w:val="center"/>
          </w:tcPr>
          <w:p w14:paraId="7C04CB7C"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w:t>
            </w:r>
          </w:p>
        </w:tc>
        <w:tc>
          <w:tcPr>
            <w:tcW w:w="1422" w:type="dxa"/>
            <w:shd w:val="clear" w:color="auto" w:fill="auto"/>
            <w:vAlign w:val="center"/>
          </w:tcPr>
          <w:p w14:paraId="5EFF48B5"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w:t>
            </w:r>
          </w:p>
        </w:tc>
      </w:tr>
      <w:tr w:rsidR="00D37C20" w:rsidRPr="00454565" w14:paraId="28D1EA0D" w14:textId="77777777" w:rsidTr="007D4F15">
        <w:trPr>
          <w:trHeight w:val="138"/>
        </w:trPr>
        <w:tc>
          <w:tcPr>
            <w:tcW w:w="2295" w:type="dxa"/>
            <w:vMerge/>
            <w:shd w:val="clear" w:color="auto" w:fill="auto"/>
            <w:noWrap/>
            <w:vAlign w:val="center"/>
          </w:tcPr>
          <w:p w14:paraId="32E81FD5" w14:textId="77777777" w:rsidR="00D37C20" w:rsidRDefault="00D37C20" w:rsidP="007D4F15">
            <w:pPr>
              <w:spacing w:after="0" w:line="240" w:lineRule="auto"/>
              <w:rPr>
                <w:rFonts w:asciiTheme="majorHAnsi" w:eastAsia="Times New Roman" w:hAnsiTheme="majorHAnsi" w:cstheme="majorHAnsi"/>
                <w:bCs/>
                <w:iCs/>
                <w:szCs w:val="24"/>
                <w:lang w:val="hr-HR" w:eastAsia="hr-HR"/>
              </w:rPr>
            </w:pPr>
          </w:p>
        </w:tc>
        <w:tc>
          <w:tcPr>
            <w:tcW w:w="4504" w:type="dxa"/>
            <w:gridSpan w:val="2"/>
            <w:shd w:val="clear" w:color="auto" w:fill="auto"/>
            <w:vAlign w:val="center"/>
          </w:tcPr>
          <w:p w14:paraId="0E1A0B85" w14:textId="77777777" w:rsidR="00D37C20" w:rsidRPr="0042018F" w:rsidRDefault="00D37C20" w:rsidP="007D4F15">
            <w:pPr>
              <w:spacing w:after="0" w:line="240" w:lineRule="auto"/>
              <w:rPr>
                <w:rFonts w:asciiTheme="majorHAnsi" w:eastAsia="Times New Roman" w:hAnsiTheme="majorHAnsi" w:cstheme="majorHAnsi"/>
                <w:bCs/>
                <w:iCs/>
                <w:szCs w:val="24"/>
                <w:lang w:val="hr-HR" w:eastAsia="hr-HR"/>
              </w:rPr>
            </w:pPr>
            <w:r w:rsidRPr="0042018F">
              <w:rPr>
                <w:rFonts w:asciiTheme="majorHAnsi" w:eastAsia="Times New Roman" w:hAnsiTheme="majorHAnsi" w:cstheme="majorHAnsi"/>
                <w:bCs/>
                <w:iCs/>
                <w:szCs w:val="24"/>
                <w:lang w:val="hr-HR" w:eastAsia="hr-HR"/>
              </w:rPr>
              <w:t>Postotak zadovoljnih korisnika</w:t>
            </w:r>
          </w:p>
        </w:tc>
        <w:tc>
          <w:tcPr>
            <w:tcW w:w="1418" w:type="dxa"/>
            <w:shd w:val="clear" w:color="auto" w:fill="auto"/>
            <w:vAlign w:val="center"/>
          </w:tcPr>
          <w:p w14:paraId="1838AF55"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95%</w:t>
            </w:r>
          </w:p>
        </w:tc>
        <w:tc>
          <w:tcPr>
            <w:tcW w:w="1422" w:type="dxa"/>
            <w:shd w:val="clear" w:color="auto" w:fill="auto"/>
            <w:vAlign w:val="center"/>
          </w:tcPr>
          <w:p w14:paraId="51AB0454" w14:textId="77777777" w:rsidR="00D37C20" w:rsidRPr="0042018F" w:rsidRDefault="00D37C2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66%</w:t>
            </w:r>
          </w:p>
        </w:tc>
      </w:tr>
      <w:tr w:rsidR="00D37C20" w:rsidRPr="00454565" w14:paraId="47B27FC2" w14:textId="77777777" w:rsidTr="007D4F15">
        <w:trPr>
          <w:trHeight w:val="1394"/>
        </w:trPr>
        <w:tc>
          <w:tcPr>
            <w:tcW w:w="2295" w:type="dxa"/>
            <w:shd w:val="clear" w:color="auto" w:fill="auto"/>
            <w:noWrap/>
            <w:vAlign w:val="center"/>
          </w:tcPr>
          <w:p w14:paraId="180CBEE8" w14:textId="77777777" w:rsidR="00D37C20" w:rsidRPr="00DF7D9C" w:rsidRDefault="00D37C20"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Provedene aktivnosti</w:t>
            </w:r>
          </w:p>
        </w:tc>
        <w:tc>
          <w:tcPr>
            <w:tcW w:w="7344" w:type="dxa"/>
            <w:gridSpan w:val="4"/>
            <w:shd w:val="clear" w:color="auto" w:fill="auto"/>
            <w:vAlign w:val="center"/>
          </w:tcPr>
          <w:p w14:paraId="3C047704" w14:textId="0F1AB3E0" w:rsidR="00D37C20" w:rsidRDefault="00D37C20" w:rsidP="00233277">
            <w:pPr>
              <w:pStyle w:val="BodyText"/>
              <w:jc w:val="both"/>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 xml:space="preserve">U okviru projekta „Jačanje kapaciteta za uspostavu NIPP-a“ </w:t>
            </w:r>
            <w:r>
              <w:rPr>
                <w:rFonts w:asciiTheme="majorHAnsi" w:eastAsia="Times New Roman" w:hAnsiTheme="majorHAnsi" w:cstheme="majorHAnsi"/>
                <w:sz w:val="22"/>
                <w:lang w:val="hr-HR"/>
              </w:rPr>
              <w:t xml:space="preserve">sufinanciranog </w:t>
            </w:r>
            <w:r w:rsidRPr="004C3AEC">
              <w:rPr>
                <w:rFonts w:asciiTheme="majorHAnsi" w:eastAsia="Times New Roman" w:hAnsiTheme="majorHAnsi" w:cstheme="majorHAnsi"/>
                <w:sz w:val="22"/>
                <w:lang w:val="hr-HR"/>
              </w:rPr>
              <w:t>sredstvima Europske unije iz Europskog socijalnog fonda</w:t>
            </w:r>
            <w:r>
              <w:rPr>
                <w:rFonts w:asciiTheme="majorHAnsi" w:eastAsia="Times New Roman" w:hAnsiTheme="majorHAnsi" w:cstheme="majorHAnsi"/>
                <w:sz w:val="22"/>
                <w:lang w:val="hr-HR"/>
              </w:rPr>
              <w:t xml:space="preserve">, Državna geodetska uprava nabavila je uslugu </w:t>
            </w:r>
            <w:r w:rsidR="00634E19">
              <w:rPr>
                <w:rFonts w:asciiTheme="majorHAnsi" w:eastAsia="Times New Roman" w:hAnsiTheme="majorHAnsi" w:cstheme="majorHAnsi"/>
                <w:sz w:val="22"/>
                <w:lang w:val="hr-HR"/>
              </w:rPr>
              <w:t>r</w:t>
            </w:r>
            <w:r w:rsidRPr="004C3AEC">
              <w:rPr>
                <w:rFonts w:asciiTheme="majorHAnsi" w:eastAsia="Times New Roman" w:hAnsiTheme="majorHAnsi" w:cstheme="majorHAnsi"/>
                <w:sz w:val="22"/>
                <w:lang w:val="hr-HR"/>
              </w:rPr>
              <w:t>azvoj</w:t>
            </w:r>
            <w:r>
              <w:rPr>
                <w:rFonts w:asciiTheme="majorHAnsi" w:eastAsia="Times New Roman" w:hAnsiTheme="majorHAnsi" w:cstheme="majorHAnsi"/>
                <w:sz w:val="22"/>
                <w:lang w:val="hr-HR"/>
              </w:rPr>
              <w:t>a</w:t>
            </w:r>
            <w:r w:rsidRPr="004C3AEC">
              <w:rPr>
                <w:rFonts w:asciiTheme="majorHAnsi" w:eastAsia="Times New Roman" w:hAnsiTheme="majorHAnsi" w:cstheme="majorHAnsi"/>
                <w:sz w:val="22"/>
                <w:lang w:val="hr-HR"/>
              </w:rPr>
              <w:t xml:space="preserve"> modela i mjera za dijeljenje skupova i usluga prostornih podataka</w:t>
            </w:r>
            <w:r>
              <w:rPr>
                <w:rFonts w:asciiTheme="majorHAnsi" w:eastAsia="Times New Roman" w:hAnsiTheme="majorHAnsi" w:cstheme="majorHAnsi"/>
                <w:sz w:val="22"/>
                <w:lang w:val="hr-HR"/>
              </w:rPr>
              <w:t xml:space="preserve">, čiji je cilj bio razviti modele i mjere za dijeljenje prostornih podataka te testiranje njihove primjene. Upravo kao rezultat projekta predloženo je 8 </w:t>
            </w:r>
            <w:r w:rsidR="002B0896">
              <w:rPr>
                <w:rFonts w:asciiTheme="majorHAnsi" w:eastAsia="Times New Roman" w:hAnsiTheme="majorHAnsi" w:cstheme="majorHAnsi"/>
                <w:sz w:val="22"/>
                <w:lang w:val="hr-HR"/>
              </w:rPr>
              <w:t>dozvola</w:t>
            </w:r>
            <w:r w:rsidRPr="004C3AEC">
              <w:rPr>
                <w:rFonts w:asciiTheme="majorHAnsi" w:eastAsia="Times New Roman" w:hAnsiTheme="majorHAnsi" w:cstheme="majorHAnsi"/>
                <w:sz w:val="22"/>
                <w:lang w:val="hr-HR"/>
              </w:rPr>
              <w:t xml:space="preserve"> za prostorne podatke NIPP-a – dvije otvorene dozvole i šes</w:t>
            </w:r>
            <w:r>
              <w:rPr>
                <w:rFonts w:asciiTheme="majorHAnsi" w:eastAsia="Times New Roman" w:hAnsiTheme="majorHAnsi" w:cstheme="majorHAnsi"/>
                <w:sz w:val="22"/>
                <w:lang w:val="hr-HR"/>
              </w:rPr>
              <w:t>t vrsta posebnih dozvola. Također, testirana je primjenjivost otvorene dozvole Republike Hrvatske na podatke NIPP-a te je utvrđeno da određeni broj subjekata NIPP-a za podatke koji su dostupni kroz NIPP već može početi primjenjivati otvorenu dozvolu jer se oni dijele otvoreno.</w:t>
            </w:r>
          </w:p>
          <w:p w14:paraId="125698CA" w14:textId="77777777" w:rsidR="00233277" w:rsidRDefault="00233277" w:rsidP="00233277">
            <w:pPr>
              <w:pStyle w:val="BodyText"/>
              <w:jc w:val="both"/>
              <w:rPr>
                <w:rFonts w:asciiTheme="majorHAnsi" w:eastAsia="Times New Roman" w:hAnsiTheme="majorHAnsi" w:cstheme="majorHAnsi"/>
                <w:sz w:val="22"/>
                <w:lang w:val="hr-HR"/>
              </w:rPr>
            </w:pPr>
          </w:p>
          <w:p w14:paraId="1F304A09" w14:textId="77777777" w:rsidR="00D37C20" w:rsidRDefault="00D37C20" w:rsidP="00233277">
            <w:pPr>
              <w:pStyle w:val="BodyText"/>
              <w:jc w:val="both"/>
              <w:rPr>
                <w:rFonts w:asciiTheme="majorHAnsi" w:eastAsia="Times New Roman" w:hAnsiTheme="majorHAnsi" w:cstheme="majorHAnsi"/>
                <w:sz w:val="22"/>
                <w:lang w:val="hr-HR"/>
              </w:rPr>
            </w:pPr>
            <w:r>
              <w:rPr>
                <w:rFonts w:asciiTheme="majorHAnsi" w:eastAsia="Times New Roman" w:hAnsiTheme="majorHAnsi" w:cstheme="majorHAnsi"/>
                <w:sz w:val="22"/>
                <w:lang w:val="hr-HR"/>
              </w:rPr>
              <w:t>U</w:t>
            </w:r>
            <w:r w:rsidRPr="004C3AEC">
              <w:rPr>
                <w:rFonts w:asciiTheme="majorHAnsi" w:eastAsia="Times New Roman" w:hAnsiTheme="majorHAnsi" w:cstheme="majorHAnsi"/>
                <w:sz w:val="22"/>
                <w:lang w:val="hr-HR"/>
              </w:rPr>
              <w:t xml:space="preserve"> lipnju 2020. godine Državna geodetska uprava je organizirala radionicu pod nazivom „Razvoj modela i mjera za dijeljenje skupova i usluga prostornih podataka“, namijenjenu lokalnim promotorima i subjektima NIPP-a. Svrha ove radionice je bila upoznavanje sudionika s pravnom osnovom u području dozvola i uvjeta korištenja prostornih podataka te analiza postojećeg stanja i </w:t>
            </w:r>
            <w:r>
              <w:rPr>
                <w:rFonts w:asciiTheme="majorHAnsi" w:eastAsia="Times New Roman" w:hAnsiTheme="majorHAnsi" w:cstheme="majorHAnsi"/>
                <w:sz w:val="22"/>
                <w:lang w:val="hr-HR"/>
              </w:rPr>
              <w:t>završno usklađenje</w:t>
            </w:r>
            <w:r w:rsidRPr="004C3AEC">
              <w:rPr>
                <w:rFonts w:asciiTheme="majorHAnsi" w:eastAsia="Times New Roman" w:hAnsiTheme="majorHAnsi" w:cstheme="majorHAnsi"/>
                <w:sz w:val="22"/>
                <w:lang w:val="hr-HR"/>
              </w:rPr>
              <w:t xml:space="preserve"> </w:t>
            </w:r>
            <w:r>
              <w:rPr>
                <w:rFonts w:asciiTheme="majorHAnsi" w:eastAsia="Times New Roman" w:hAnsiTheme="majorHAnsi" w:cstheme="majorHAnsi"/>
                <w:sz w:val="22"/>
                <w:lang w:val="hr-HR"/>
              </w:rPr>
              <w:t xml:space="preserve">predloženih dozvola s </w:t>
            </w:r>
            <w:r w:rsidRPr="004C3AEC">
              <w:rPr>
                <w:rFonts w:asciiTheme="majorHAnsi" w:eastAsia="Times New Roman" w:hAnsiTheme="majorHAnsi" w:cstheme="majorHAnsi"/>
                <w:sz w:val="22"/>
                <w:lang w:val="hr-HR"/>
              </w:rPr>
              <w:t>potreba</w:t>
            </w:r>
            <w:r>
              <w:rPr>
                <w:rFonts w:asciiTheme="majorHAnsi" w:eastAsia="Times New Roman" w:hAnsiTheme="majorHAnsi" w:cstheme="majorHAnsi"/>
                <w:sz w:val="22"/>
                <w:lang w:val="hr-HR"/>
              </w:rPr>
              <w:t>ma subjekata NIPP-a.</w:t>
            </w:r>
            <w:r w:rsidRPr="004C3AEC">
              <w:rPr>
                <w:rFonts w:asciiTheme="majorHAnsi" w:eastAsia="Times New Roman" w:hAnsiTheme="majorHAnsi" w:cstheme="majorHAnsi"/>
                <w:sz w:val="22"/>
                <w:lang w:val="hr-HR"/>
              </w:rPr>
              <w:t xml:space="preserve"> </w:t>
            </w:r>
            <w:r>
              <w:rPr>
                <w:rFonts w:asciiTheme="majorHAnsi" w:eastAsia="Times New Roman" w:hAnsiTheme="majorHAnsi" w:cstheme="majorHAnsi"/>
                <w:sz w:val="22"/>
                <w:lang w:val="hr-HR"/>
              </w:rPr>
              <w:t>Postotak korisnika zadovoljnih kvalitetom održane radionice je 66%.</w:t>
            </w:r>
          </w:p>
          <w:p w14:paraId="1A950E25" w14:textId="77777777" w:rsidR="00D37C20" w:rsidRPr="004C3AEC" w:rsidRDefault="00D37C20" w:rsidP="007D4F15">
            <w:pPr>
              <w:pStyle w:val="BodyText"/>
              <w:rPr>
                <w:rFonts w:asciiTheme="majorHAnsi" w:eastAsia="Times New Roman" w:hAnsiTheme="majorHAnsi" w:cstheme="majorHAnsi"/>
                <w:sz w:val="22"/>
                <w:lang w:val="hr-HR"/>
              </w:rPr>
            </w:pPr>
          </w:p>
          <w:p w14:paraId="634C50DF" w14:textId="77777777" w:rsidR="00D37C20" w:rsidRPr="00776253" w:rsidRDefault="00D37C20" w:rsidP="007D4F15">
            <w:pPr>
              <w:pStyle w:val="BodyText"/>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 xml:space="preserve">Državna geodetska uprava je testirala nekoliko politika dijeljenja podataka na </w:t>
            </w:r>
            <w:r w:rsidRPr="00776253">
              <w:rPr>
                <w:rFonts w:asciiTheme="majorHAnsi" w:eastAsia="Times New Roman" w:hAnsiTheme="majorHAnsi" w:cstheme="majorHAnsi"/>
                <w:sz w:val="22"/>
                <w:lang w:val="hr-HR"/>
              </w:rPr>
              <w:lastRenderedPageBreak/>
              <w:t xml:space="preserve">sljedećim </w:t>
            </w:r>
            <w:r>
              <w:rPr>
                <w:rFonts w:asciiTheme="majorHAnsi" w:eastAsia="Times New Roman" w:hAnsiTheme="majorHAnsi" w:cstheme="majorHAnsi"/>
                <w:sz w:val="22"/>
                <w:lang w:val="hr-HR"/>
              </w:rPr>
              <w:t xml:space="preserve">podacima i </w:t>
            </w:r>
            <w:r w:rsidRPr="00776253">
              <w:rPr>
                <w:rFonts w:asciiTheme="majorHAnsi" w:eastAsia="Times New Roman" w:hAnsiTheme="majorHAnsi" w:cstheme="majorHAnsi"/>
                <w:sz w:val="22"/>
                <w:lang w:val="hr-HR"/>
              </w:rPr>
              <w:t xml:space="preserve">uslugama: </w:t>
            </w:r>
          </w:p>
          <w:p w14:paraId="01C75408" w14:textId="77777777" w:rsidR="00D37C20" w:rsidRPr="00776253" w:rsidRDefault="00D37C20" w:rsidP="008C1448">
            <w:pPr>
              <w:pStyle w:val="BodyText"/>
              <w:numPr>
                <w:ilvl w:val="0"/>
                <w:numId w:val="8"/>
              </w:numPr>
              <w:ind w:left="705"/>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Katastarske čestice i katastarske općine – WMS i WFS INSPIRE</w:t>
            </w:r>
          </w:p>
          <w:p w14:paraId="56EF624A" w14:textId="77777777" w:rsidR="00D37C20" w:rsidRDefault="00D37C20" w:rsidP="008C1448">
            <w:pPr>
              <w:pStyle w:val="BodyText"/>
              <w:numPr>
                <w:ilvl w:val="0"/>
                <w:numId w:val="8"/>
              </w:numPr>
              <w:ind w:left="705"/>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Registar geografskih imena – WMS i WFS INSPIRE</w:t>
            </w:r>
          </w:p>
          <w:p w14:paraId="389A913E" w14:textId="77777777" w:rsidR="00D37C20" w:rsidRPr="00776253" w:rsidRDefault="00D37C20" w:rsidP="008C1448">
            <w:pPr>
              <w:pStyle w:val="BodyText"/>
              <w:numPr>
                <w:ilvl w:val="0"/>
                <w:numId w:val="8"/>
              </w:numPr>
              <w:ind w:left="705"/>
              <w:rPr>
                <w:rFonts w:asciiTheme="majorHAnsi" w:eastAsia="Times New Roman" w:hAnsiTheme="majorHAnsi" w:cstheme="majorHAnsi"/>
                <w:sz w:val="22"/>
                <w:lang w:val="hr-HR"/>
              </w:rPr>
            </w:pPr>
            <w:r>
              <w:rPr>
                <w:rFonts w:asciiTheme="majorHAnsi" w:eastAsia="Times New Roman" w:hAnsiTheme="majorHAnsi" w:cstheme="majorHAnsi"/>
                <w:sz w:val="22"/>
                <w:lang w:val="hr-HR"/>
              </w:rPr>
              <w:t xml:space="preserve">Digitalni </w:t>
            </w:r>
            <w:proofErr w:type="spellStart"/>
            <w:r>
              <w:rPr>
                <w:rFonts w:asciiTheme="majorHAnsi" w:eastAsia="Times New Roman" w:hAnsiTheme="majorHAnsi" w:cstheme="majorHAnsi"/>
                <w:sz w:val="22"/>
                <w:lang w:val="hr-HR"/>
              </w:rPr>
              <w:t>ortofoto</w:t>
            </w:r>
            <w:proofErr w:type="spellEnd"/>
            <w:r>
              <w:rPr>
                <w:rFonts w:asciiTheme="majorHAnsi" w:eastAsia="Times New Roman" w:hAnsiTheme="majorHAnsi" w:cstheme="majorHAnsi"/>
                <w:sz w:val="22"/>
                <w:lang w:val="hr-HR"/>
              </w:rPr>
              <w:t xml:space="preserve"> 1:5000 – WMS</w:t>
            </w:r>
          </w:p>
          <w:p w14:paraId="1CC2D8A2" w14:textId="77777777" w:rsidR="00D37C20" w:rsidRPr="00776253" w:rsidRDefault="00D37C20" w:rsidP="008C1448">
            <w:pPr>
              <w:pStyle w:val="BodyText"/>
              <w:numPr>
                <w:ilvl w:val="0"/>
                <w:numId w:val="8"/>
              </w:numPr>
              <w:ind w:left="705"/>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Hidrografija – ATOM INSPIRE (ugovor/sporazum)</w:t>
            </w:r>
          </w:p>
          <w:p w14:paraId="79FD81E9" w14:textId="77777777" w:rsidR="00D37C20" w:rsidRPr="00776253" w:rsidRDefault="00D37C20" w:rsidP="008C1448">
            <w:pPr>
              <w:pStyle w:val="BodyText"/>
              <w:numPr>
                <w:ilvl w:val="0"/>
                <w:numId w:val="8"/>
              </w:numPr>
              <w:ind w:left="705"/>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Visine – ATOM INSPIRE (ugovor/sporazum)</w:t>
            </w:r>
          </w:p>
          <w:p w14:paraId="0D6DB74B" w14:textId="77777777" w:rsidR="00D37C20" w:rsidRPr="00776253" w:rsidRDefault="00D37C20" w:rsidP="008C1448">
            <w:pPr>
              <w:pStyle w:val="BodyText"/>
              <w:numPr>
                <w:ilvl w:val="0"/>
                <w:numId w:val="8"/>
              </w:numPr>
              <w:ind w:left="705"/>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Adrese – WMS i WFS INSPIRE (ugovor/sporazum)</w:t>
            </w:r>
          </w:p>
          <w:p w14:paraId="451D5E3C" w14:textId="77777777" w:rsidR="00D37C20" w:rsidRPr="00776253" w:rsidRDefault="00D37C20" w:rsidP="008C1448">
            <w:pPr>
              <w:pStyle w:val="BodyText"/>
              <w:numPr>
                <w:ilvl w:val="0"/>
                <w:numId w:val="8"/>
              </w:numPr>
              <w:ind w:left="705"/>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Upravne jedinice – WMS i WFS INSPIRE (ugovor/sporazum).</w:t>
            </w:r>
          </w:p>
          <w:p w14:paraId="12B50129" w14:textId="77777777" w:rsidR="00D37C20" w:rsidRDefault="00D37C20" w:rsidP="007D4F15">
            <w:pPr>
              <w:pStyle w:val="BodyText"/>
              <w:rPr>
                <w:rFonts w:asciiTheme="majorHAnsi" w:eastAsia="Times New Roman" w:hAnsiTheme="majorHAnsi" w:cstheme="majorHAnsi"/>
                <w:color w:val="FF0000"/>
                <w:sz w:val="22"/>
                <w:lang w:val="hr-HR"/>
              </w:rPr>
            </w:pPr>
          </w:p>
          <w:p w14:paraId="44FA41CF" w14:textId="16C7A03E" w:rsidR="00D37C20" w:rsidRDefault="00D37C20" w:rsidP="00233277">
            <w:pPr>
              <w:pStyle w:val="BodyText"/>
              <w:jc w:val="both"/>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Određeni broj subjekata NIPP-a</w:t>
            </w:r>
            <w:r>
              <w:rPr>
                <w:rFonts w:asciiTheme="majorHAnsi" w:eastAsia="Times New Roman" w:hAnsiTheme="majorHAnsi" w:cstheme="majorHAnsi"/>
                <w:sz w:val="22"/>
                <w:lang w:val="hr-HR"/>
              </w:rPr>
              <w:t xml:space="preserve"> dio</w:t>
            </w:r>
            <w:r w:rsidRPr="00776253">
              <w:rPr>
                <w:rFonts w:asciiTheme="majorHAnsi" w:eastAsia="Times New Roman" w:hAnsiTheme="majorHAnsi" w:cstheme="majorHAnsi"/>
                <w:sz w:val="22"/>
                <w:lang w:val="hr-HR"/>
              </w:rPr>
              <w:t xml:space="preserve"> prostorn</w:t>
            </w:r>
            <w:r>
              <w:rPr>
                <w:rFonts w:asciiTheme="majorHAnsi" w:eastAsia="Times New Roman" w:hAnsiTheme="majorHAnsi" w:cstheme="majorHAnsi"/>
                <w:sz w:val="22"/>
                <w:lang w:val="hr-HR"/>
              </w:rPr>
              <w:t>ih</w:t>
            </w:r>
            <w:r w:rsidRPr="00776253">
              <w:rPr>
                <w:rFonts w:asciiTheme="majorHAnsi" w:eastAsia="Times New Roman" w:hAnsiTheme="majorHAnsi" w:cstheme="majorHAnsi"/>
                <w:sz w:val="22"/>
                <w:lang w:val="hr-HR"/>
              </w:rPr>
              <w:t xml:space="preserve"> podat</w:t>
            </w:r>
            <w:r>
              <w:rPr>
                <w:rFonts w:asciiTheme="majorHAnsi" w:eastAsia="Times New Roman" w:hAnsiTheme="majorHAnsi" w:cstheme="majorHAnsi"/>
                <w:sz w:val="22"/>
                <w:lang w:val="hr-HR"/>
              </w:rPr>
              <w:t>aka</w:t>
            </w:r>
            <w:r w:rsidRPr="00776253">
              <w:rPr>
                <w:rFonts w:asciiTheme="majorHAnsi" w:eastAsia="Times New Roman" w:hAnsiTheme="majorHAnsi" w:cstheme="majorHAnsi"/>
                <w:sz w:val="22"/>
                <w:lang w:val="hr-HR"/>
              </w:rPr>
              <w:t xml:space="preserve"> dijeli putem politike otvorenih podataka poput: Državne geodetske uprave, Ministarstva zdravstva, Hrvatskih cesta d.o.o., HP-hrvatske pošte d.d. i Grada Rijeke. Također, analizom je ustanovljeno kako velik broj subjekata NIPP-a podatke iz svoje nadležnosti dijeli u skladu s Otvorenom dozvolom Republike Hrvatske iako to ne navodi. Ovim je potvrđeno provođenje prve politike dijeljenja navedene u </w:t>
            </w:r>
            <w:r w:rsidR="00634E19">
              <w:rPr>
                <w:rFonts w:asciiTheme="majorHAnsi" w:eastAsia="Times New Roman" w:hAnsiTheme="majorHAnsi" w:cstheme="majorHAnsi"/>
                <w:sz w:val="22"/>
                <w:lang w:val="hr-HR"/>
              </w:rPr>
              <w:t>S</w:t>
            </w:r>
            <w:r w:rsidRPr="00776253">
              <w:rPr>
                <w:rFonts w:asciiTheme="majorHAnsi" w:eastAsia="Times New Roman" w:hAnsiTheme="majorHAnsi" w:cstheme="majorHAnsi"/>
                <w:sz w:val="22"/>
                <w:lang w:val="hr-HR"/>
              </w:rPr>
              <w:t>trateškom cilju br. 3., odnosno standardnog modela licenciranja za podatke i usluge bez naknada.</w:t>
            </w:r>
          </w:p>
          <w:p w14:paraId="4FBB79B7" w14:textId="77777777" w:rsidR="0035687C" w:rsidRPr="00776253" w:rsidRDefault="0035687C" w:rsidP="00233277">
            <w:pPr>
              <w:pStyle w:val="BodyText"/>
              <w:jc w:val="both"/>
              <w:rPr>
                <w:rFonts w:asciiTheme="majorHAnsi" w:eastAsia="Times New Roman" w:hAnsiTheme="majorHAnsi" w:cstheme="majorHAnsi"/>
                <w:sz w:val="22"/>
                <w:lang w:val="hr-HR"/>
              </w:rPr>
            </w:pPr>
          </w:p>
          <w:p w14:paraId="66394150" w14:textId="2F0B9EC6" w:rsidR="00D37C20" w:rsidRDefault="00D37C20" w:rsidP="00233277">
            <w:pPr>
              <w:pStyle w:val="BodyText"/>
              <w:jc w:val="both"/>
              <w:rPr>
                <w:rFonts w:asciiTheme="majorHAnsi" w:eastAsia="Times New Roman" w:hAnsiTheme="majorHAnsi" w:cstheme="majorHAnsi"/>
                <w:sz w:val="22"/>
                <w:lang w:val="hr-HR"/>
              </w:rPr>
            </w:pPr>
            <w:r w:rsidRPr="00776253">
              <w:rPr>
                <w:rFonts w:asciiTheme="majorHAnsi" w:eastAsia="Times New Roman" w:hAnsiTheme="majorHAnsi" w:cstheme="majorHAnsi"/>
                <w:sz w:val="22"/>
                <w:lang w:val="hr-HR"/>
              </w:rPr>
              <w:t>Državna geodetska uprava podatke dijeli temeljem Pravilnika o određivanju visine stvarnih troškova uporabe podataka dokumentacije državne izmjere i katastra nekretnina (NN 59/2018) unutar kojeg je razvijen model licenciranja i struktura naknada za podatke i usluge koje se naplaćuju. Dokument potvrđuje provođenje treće</w:t>
            </w:r>
            <w:r>
              <w:rPr>
                <w:rFonts w:asciiTheme="majorHAnsi" w:eastAsia="Times New Roman" w:hAnsiTheme="majorHAnsi" w:cstheme="majorHAnsi"/>
                <w:sz w:val="22"/>
                <w:lang w:val="hr-HR"/>
              </w:rPr>
              <w:t>,</w:t>
            </w:r>
            <w:r w:rsidRPr="00776253">
              <w:rPr>
                <w:rFonts w:asciiTheme="majorHAnsi" w:eastAsia="Times New Roman" w:hAnsiTheme="majorHAnsi" w:cstheme="majorHAnsi"/>
                <w:sz w:val="22"/>
                <w:lang w:val="hr-HR"/>
              </w:rPr>
              <w:t xml:space="preserve"> četvrte</w:t>
            </w:r>
            <w:r>
              <w:rPr>
                <w:rFonts w:asciiTheme="majorHAnsi" w:eastAsia="Times New Roman" w:hAnsiTheme="majorHAnsi" w:cstheme="majorHAnsi"/>
                <w:sz w:val="22"/>
                <w:lang w:val="hr-HR"/>
              </w:rPr>
              <w:t xml:space="preserve"> i pete </w:t>
            </w:r>
            <w:r w:rsidRPr="00776253">
              <w:rPr>
                <w:rFonts w:asciiTheme="majorHAnsi" w:eastAsia="Times New Roman" w:hAnsiTheme="majorHAnsi" w:cstheme="majorHAnsi"/>
                <w:sz w:val="22"/>
                <w:lang w:val="hr-HR"/>
              </w:rPr>
              <w:t xml:space="preserve">politike dijeljenja navedene u </w:t>
            </w:r>
            <w:r w:rsidR="00634E19">
              <w:rPr>
                <w:rFonts w:asciiTheme="majorHAnsi" w:eastAsia="Times New Roman" w:hAnsiTheme="majorHAnsi" w:cstheme="majorHAnsi"/>
                <w:sz w:val="22"/>
                <w:lang w:val="hr-HR"/>
              </w:rPr>
              <w:t>S</w:t>
            </w:r>
            <w:r w:rsidRPr="00776253">
              <w:rPr>
                <w:rFonts w:asciiTheme="majorHAnsi" w:eastAsia="Times New Roman" w:hAnsiTheme="majorHAnsi" w:cstheme="majorHAnsi"/>
                <w:sz w:val="22"/>
                <w:lang w:val="hr-HR"/>
              </w:rPr>
              <w:t>trateškom cilju br. 3., odnosno standardnog modela licenciranja</w:t>
            </w:r>
            <w:r>
              <w:rPr>
                <w:rFonts w:asciiTheme="majorHAnsi" w:eastAsia="Times New Roman" w:hAnsiTheme="majorHAnsi" w:cstheme="majorHAnsi"/>
                <w:sz w:val="22"/>
                <w:lang w:val="hr-HR"/>
              </w:rPr>
              <w:t>,</w:t>
            </w:r>
            <w:r w:rsidRPr="00776253">
              <w:rPr>
                <w:rFonts w:asciiTheme="majorHAnsi" w:eastAsia="Times New Roman" w:hAnsiTheme="majorHAnsi" w:cstheme="majorHAnsi"/>
                <w:sz w:val="22"/>
                <w:lang w:val="hr-HR"/>
              </w:rPr>
              <w:t xml:space="preserve"> strukture naknada </w:t>
            </w:r>
            <w:r>
              <w:rPr>
                <w:rFonts w:asciiTheme="majorHAnsi" w:eastAsia="Times New Roman" w:hAnsiTheme="majorHAnsi" w:cstheme="majorHAnsi"/>
                <w:sz w:val="22"/>
                <w:lang w:val="hr-HR"/>
              </w:rPr>
              <w:t xml:space="preserve">i uvjeta </w:t>
            </w:r>
            <w:r w:rsidRPr="00776253">
              <w:rPr>
                <w:rFonts w:asciiTheme="majorHAnsi" w:eastAsia="Times New Roman" w:hAnsiTheme="majorHAnsi" w:cstheme="majorHAnsi"/>
                <w:sz w:val="22"/>
                <w:lang w:val="hr-HR"/>
              </w:rPr>
              <w:t>za podatke i usluge koje se naplaćuju</w:t>
            </w:r>
            <w:r>
              <w:rPr>
                <w:rFonts w:asciiTheme="majorHAnsi" w:eastAsia="Times New Roman" w:hAnsiTheme="majorHAnsi" w:cstheme="majorHAnsi"/>
                <w:sz w:val="22"/>
                <w:lang w:val="hr-HR"/>
              </w:rPr>
              <w:t>.</w:t>
            </w:r>
          </w:p>
          <w:p w14:paraId="3D8B801E" w14:textId="77777777" w:rsidR="00233277" w:rsidRDefault="00233277" w:rsidP="00233277">
            <w:pPr>
              <w:pStyle w:val="BodyText"/>
              <w:jc w:val="both"/>
              <w:rPr>
                <w:rFonts w:asciiTheme="majorHAnsi" w:eastAsia="Times New Roman" w:hAnsiTheme="majorHAnsi" w:cstheme="majorHAnsi"/>
                <w:color w:val="FF0000"/>
                <w:sz w:val="22"/>
                <w:lang w:val="hr-HR"/>
              </w:rPr>
            </w:pPr>
          </w:p>
          <w:p w14:paraId="2BBEC183" w14:textId="77777777" w:rsidR="00D37C20" w:rsidRDefault="00D37C20" w:rsidP="00233277">
            <w:pPr>
              <w:pStyle w:val="BodyText"/>
              <w:jc w:val="both"/>
              <w:rPr>
                <w:rFonts w:asciiTheme="majorHAnsi" w:eastAsia="Times New Roman" w:hAnsiTheme="majorHAnsi" w:cstheme="majorHAnsi"/>
                <w:sz w:val="22"/>
                <w:lang w:val="hr-HR"/>
              </w:rPr>
            </w:pPr>
            <w:r w:rsidRPr="004C3AEC">
              <w:rPr>
                <w:rFonts w:asciiTheme="majorHAnsi" w:eastAsia="Times New Roman" w:hAnsiTheme="majorHAnsi" w:cstheme="majorHAnsi"/>
                <w:sz w:val="22"/>
                <w:lang w:val="hr-HR"/>
              </w:rPr>
              <w:t xml:space="preserve">Politike dijeljenja podataka koje Državna geodetska uprava koristi </w:t>
            </w:r>
            <w:r>
              <w:rPr>
                <w:rFonts w:asciiTheme="majorHAnsi" w:eastAsia="Times New Roman" w:hAnsiTheme="majorHAnsi" w:cstheme="majorHAnsi"/>
                <w:sz w:val="22"/>
                <w:lang w:val="hr-HR"/>
              </w:rPr>
              <w:t>navedeni su na nekoliko primjera u nastavku. P</w:t>
            </w:r>
            <w:r w:rsidRPr="004C3AEC">
              <w:rPr>
                <w:rFonts w:asciiTheme="majorHAnsi" w:eastAsia="Times New Roman" w:hAnsiTheme="majorHAnsi" w:cstheme="majorHAnsi"/>
                <w:sz w:val="22"/>
                <w:lang w:val="hr-HR"/>
              </w:rPr>
              <w:t>oda</w:t>
            </w:r>
            <w:r>
              <w:rPr>
                <w:rFonts w:asciiTheme="majorHAnsi" w:eastAsia="Times New Roman" w:hAnsiTheme="majorHAnsi" w:cstheme="majorHAnsi"/>
                <w:sz w:val="22"/>
                <w:lang w:val="hr-HR"/>
              </w:rPr>
              <w:t>ci</w:t>
            </w:r>
            <w:r w:rsidRPr="004C3AEC">
              <w:rPr>
                <w:rFonts w:asciiTheme="majorHAnsi" w:eastAsia="Times New Roman" w:hAnsiTheme="majorHAnsi" w:cstheme="majorHAnsi"/>
                <w:sz w:val="22"/>
                <w:lang w:val="hr-HR"/>
              </w:rPr>
              <w:t xml:space="preserve"> katastarskih čestica i katastarskih općina </w:t>
            </w:r>
            <w:r>
              <w:rPr>
                <w:rFonts w:asciiTheme="majorHAnsi" w:eastAsia="Times New Roman" w:hAnsiTheme="majorHAnsi" w:cstheme="majorHAnsi"/>
                <w:sz w:val="22"/>
                <w:lang w:val="hr-HR"/>
              </w:rPr>
              <w:t>dostupni su bez naknade za pregled i preuzimanje, uz obveznu registraciju korisnika te</w:t>
            </w:r>
            <w:r w:rsidRPr="004C3AEC">
              <w:rPr>
                <w:rFonts w:asciiTheme="majorHAnsi" w:eastAsia="Times New Roman" w:hAnsiTheme="majorHAnsi" w:cstheme="majorHAnsi"/>
                <w:sz w:val="22"/>
                <w:lang w:val="hr-HR"/>
              </w:rPr>
              <w:t xml:space="preserve"> prihvaćanje uvjeta korištenja</w:t>
            </w:r>
            <w:r>
              <w:rPr>
                <w:rFonts w:asciiTheme="majorHAnsi" w:eastAsia="Times New Roman" w:hAnsiTheme="majorHAnsi" w:cstheme="majorHAnsi"/>
                <w:sz w:val="22"/>
                <w:lang w:val="hr-HR"/>
              </w:rPr>
              <w:t xml:space="preserve"> koje propisuje Državna geodetska uprava</w:t>
            </w:r>
            <w:r w:rsidRPr="004C3AEC">
              <w:rPr>
                <w:rFonts w:asciiTheme="majorHAnsi" w:eastAsia="Times New Roman" w:hAnsiTheme="majorHAnsi" w:cstheme="majorHAnsi"/>
                <w:sz w:val="22"/>
                <w:lang w:val="hr-HR"/>
              </w:rPr>
              <w:t xml:space="preserve">. </w:t>
            </w:r>
            <w:r>
              <w:rPr>
                <w:rFonts w:asciiTheme="majorHAnsi" w:eastAsia="Times New Roman" w:hAnsiTheme="majorHAnsi" w:cstheme="majorHAnsi"/>
                <w:sz w:val="22"/>
                <w:lang w:val="hr-HR"/>
              </w:rPr>
              <w:t>Preuzeti podaci</w:t>
            </w:r>
            <w:r w:rsidRPr="004C3AEC">
              <w:rPr>
                <w:rFonts w:asciiTheme="majorHAnsi" w:eastAsia="Times New Roman" w:hAnsiTheme="majorHAnsi" w:cstheme="majorHAnsi"/>
                <w:sz w:val="22"/>
                <w:lang w:val="hr-HR"/>
              </w:rPr>
              <w:t xml:space="preserve"> informativnog</w:t>
            </w:r>
            <w:r>
              <w:rPr>
                <w:rFonts w:asciiTheme="majorHAnsi" w:eastAsia="Times New Roman" w:hAnsiTheme="majorHAnsi" w:cstheme="majorHAnsi"/>
                <w:sz w:val="22"/>
                <w:lang w:val="hr-HR"/>
              </w:rPr>
              <w:t xml:space="preserve"> su</w:t>
            </w:r>
            <w:r w:rsidRPr="004C3AEC">
              <w:rPr>
                <w:rFonts w:asciiTheme="majorHAnsi" w:eastAsia="Times New Roman" w:hAnsiTheme="majorHAnsi" w:cstheme="majorHAnsi"/>
                <w:sz w:val="22"/>
                <w:lang w:val="hr-HR"/>
              </w:rPr>
              <w:t xml:space="preserve"> karaktera</w:t>
            </w:r>
            <w:r>
              <w:rPr>
                <w:rFonts w:asciiTheme="majorHAnsi" w:eastAsia="Times New Roman" w:hAnsiTheme="majorHAnsi" w:cstheme="majorHAnsi"/>
                <w:sz w:val="22"/>
                <w:lang w:val="hr-HR"/>
              </w:rPr>
              <w:t xml:space="preserve">, odnosno ne mogu služiti kao javne isprave, ali </w:t>
            </w:r>
            <w:r w:rsidRPr="004C3AEC">
              <w:rPr>
                <w:rFonts w:asciiTheme="majorHAnsi" w:eastAsia="Times New Roman" w:hAnsiTheme="majorHAnsi" w:cstheme="majorHAnsi"/>
                <w:sz w:val="22"/>
                <w:lang w:val="hr-HR"/>
              </w:rPr>
              <w:t xml:space="preserve">mogu se koristiti za stvaranje </w:t>
            </w:r>
            <w:r>
              <w:rPr>
                <w:rFonts w:asciiTheme="majorHAnsi" w:eastAsia="Times New Roman" w:hAnsiTheme="majorHAnsi" w:cstheme="majorHAnsi"/>
                <w:sz w:val="22"/>
                <w:lang w:val="hr-HR"/>
              </w:rPr>
              <w:t>izvedenih</w:t>
            </w:r>
            <w:r w:rsidRPr="004C3AEC">
              <w:rPr>
                <w:rFonts w:asciiTheme="majorHAnsi" w:eastAsia="Times New Roman" w:hAnsiTheme="majorHAnsi" w:cstheme="majorHAnsi"/>
                <w:sz w:val="22"/>
                <w:lang w:val="hr-HR"/>
              </w:rPr>
              <w:t xml:space="preserve"> proizvoda uz ostale uvjete korištenja javno objavljene na</w:t>
            </w:r>
            <w:r>
              <w:rPr>
                <w:rFonts w:asciiTheme="majorHAnsi" w:eastAsia="Times New Roman" w:hAnsiTheme="majorHAnsi" w:cstheme="majorHAnsi"/>
                <w:sz w:val="22"/>
                <w:lang w:val="hr-HR"/>
              </w:rPr>
              <w:t xml:space="preserve"> poveznici:</w:t>
            </w:r>
            <w:r w:rsidRPr="004C3AEC">
              <w:rPr>
                <w:rFonts w:asciiTheme="majorHAnsi" w:eastAsia="Times New Roman" w:hAnsiTheme="majorHAnsi" w:cstheme="majorHAnsi"/>
                <w:sz w:val="22"/>
                <w:lang w:val="hr-HR"/>
              </w:rPr>
              <w:t xml:space="preserve"> </w:t>
            </w:r>
            <w:hyperlink r:id="rId15" w:history="1">
              <w:r w:rsidRPr="004C3AEC">
                <w:rPr>
                  <w:rStyle w:val="Hyperlink"/>
                  <w:rFonts w:asciiTheme="majorHAnsi" w:eastAsia="Times New Roman" w:hAnsiTheme="majorHAnsi" w:cstheme="majorHAnsi"/>
                  <w:sz w:val="22"/>
                  <w:lang w:val="hr-HR"/>
                </w:rPr>
                <w:t>https://oss.uredjenazemlja.hr/public/inspire_dkp.jsp#</w:t>
              </w:r>
            </w:hyperlink>
            <w:r w:rsidRPr="004C3AEC">
              <w:rPr>
                <w:rFonts w:asciiTheme="majorHAnsi" w:eastAsia="Times New Roman" w:hAnsiTheme="majorHAnsi" w:cstheme="majorHAnsi"/>
                <w:sz w:val="22"/>
                <w:lang w:val="hr-HR"/>
              </w:rPr>
              <w:t xml:space="preserve">. </w:t>
            </w:r>
          </w:p>
          <w:p w14:paraId="5012846C" w14:textId="77777777" w:rsidR="00233277" w:rsidRDefault="00233277" w:rsidP="00233277">
            <w:pPr>
              <w:pStyle w:val="BodyText"/>
              <w:jc w:val="both"/>
              <w:rPr>
                <w:rFonts w:asciiTheme="majorHAnsi" w:eastAsia="Times New Roman" w:hAnsiTheme="majorHAnsi" w:cstheme="majorHAnsi"/>
                <w:sz w:val="22"/>
                <w:lang w:val="hr-HR"/>
              </w:rPr>
            </w:pPr>
          </w:p>
          <w:p w14:paraId="716F0829" w14:textId="77777777" w:rsidR="00D37C20" w:rsidRPr="004C3AEC" w:rsidRDefault="00D37C20" w:rsidP="00233277">
            <w:pPr>
              <w:pStyle w:val="BodyText"/>
              <w:jc w:val="both"/>
              <w:rPr>
                <w:rFonts w:asciiTheme="majorHAnsi" w:eastAsia="Times New Roman" w:hAnsiTheme="majorHAnsi" w:cstheme="majorHAnsi"/>
                <w:sz w:val="22"/>
                <w:lang w:val="hr-HR"/>
              </w:rPr>
            </w:pPr>
            <w:r>
              <w:rPr>
                <w:rFonts w:asciiTheme="majorHAnsi" w:eastAsia="Times New Roman" w:hAnsiTheme="majorHAnsi" w:cstheme="majorHAnsi"/>
                <w:sz w:val="22"/>
                <w:lang w:val="hr-HR"/>
              </w:rPr>
              <w:t>Za podatke</w:t>
            </w:r>
            <w:r w:rsidRPr="004C3AEC">
              <w:rPr>
                <w:rFonts w:asciiTheme="majorHAnsi" w:eastAsia="Times New Roman" w:hAnsiTheme="majorHAnsi" w:cstheme="majorHAnsi"/>
                <w:sz w:val="22"/>
                <w:lang w:val="hr-HR"/>
              </w:rPr>
              <w:t xml:space="preserve"> Registra geografskih imena primjenjuje se</w:t>
            </w:r>
            <w:r>
              <w:rPr>
                <w:rFonts w:asciiTheme="majorHAnsi" w:eastAsia="Times New Roman" w:hAnsiTheme="majorHAnsi" w:cstheme="majorHAnsi"/>
                <w:sz w:val="22"/>
                <w:lang w:val="hr-HR"/>
              </w:rPr>
              <w:t xml:space="preserve"> slična</w:t>
            </w:r>
            <w:r w:rsidRPr="004C3AEC">
              <w:rPr>
                <w:rFonts w:asciiTheme="majorHAnsi" w:eastAsia="Times New Roman" w:hAnsiTheme="majorHAnsi" w:cstheme="majorHAnsi"/>
                <w:sz w:val="22"/>
                <w:lang w:val="hr-HR"/>
              </w:rPr>
              <w:t xml:space="preserve"> politika </w:t>
            </w:r>
            <w:r>
              <w:rPr>
                <w:rFonts w:asciiTheme="majorHAnsi" w:eastAsia="Times New Roman" w:hAnsiTheme="majorHAnsi" w:cstheme="majorHAnsi"/>
                <w:sz w:val="22"/>
                <w:lang w:val="hr-HR"/>
              </w:rPr>
              <w:t>dijeljenja, bez registracije, ali</w:t>
            </w:r>
            <w:r w:rsidRPr="004C3AEC">
              <w:rPr>
                <w:rFonts w:asciiTheme="majorHAnsi" w:eastAsia="Times New Roman" w:hAnsiTheme="majorHAnsi" w:cstheme="majorHAnsi"/>
                <w:sz w:val="22"/>
                <w:lang w:val="hr-HR"/>
              </w:rPr>
              <w:t xml:space="preserve"> uz prihvaćanje uvjeta korištenja. Mrežna usluga preuzimanja je dostupna bez naknade, a posluženi podaci imaju informativni karakter. Ostali uvjeti korištenja su dostupni na</w:t>
            </w:r>
            <w:r>
              <w:rPr>
                <w:rFonts w:asciiTheme="majorHAnsi" w:eastAsia="Times New Roman" w:hAnsiTheme="majorHAnsi" w:cstheme="majorHAnsi"/>
                <w:sz w:val="22"/>
                <w:lang w:val="hr-HR"/>
              </w:rPr>
              <w:t xml:space="preserve"> poveznici:</w:t>
            </w:r>
            <w:r w:rsidRPr="004C3AEC">
              <w:rPr>
                <w:rFonts w:asciiTheme="majorHAnsi" w:eastAsia="Times New Roman" w:hAnsiTheme="majorHAnsi" w:cstheme="majorHAnsi"/>
                <w:sz w:val="22"/>
                <w:lang w:val="hr-HR"/>
              </w:rPr>
              <w:t xml:space="preserve"> </w:t>
            </w:r>
            <w:hyperlink r:id="rId16" w:history="1">
              <w:r w:rsidRPr="004C3AEC">
                <w:rPr>
                  <w:rStyle w:val="Hyperlink"/>
                  <w:rFonts w:asciiTheme="majorHAnsi" w:eastAsia="Times New Roman" w:hAnsiTheme="majorHAnsi" w:cstheme="majorHAnsi"/>
                  <w:sz w:val="22"/>
                  <w:lang w:val="hr-HR"/>
                </w:rPr>
                <w:t>https://rgi.dgu.hr/wp-content/uploads/2016/04/Uvjeti_koristenja_WFS_RGI.pdf</w:t>
              </w:r>
            </w:hyperlink>
            <w:r w:rsidRPr="004C3AEC">
              <w:rPr>
                <w:rFonts w:asciiTheme="majorHAnsi" w:eastAsia="Times New Roman" w:hAnsiTheme="majorHAnsi" w:cstheme="majorHAnsi"/>
                <w:sz w:val="22"/>
                <w:lang w:val="hr-HR"/>
              </w:rPr>
              <w:t xml:space="preserve">. </w:t>
            </w:r>
          </w:p>
          <w:p w14:paraId="4B99006F" w14:textId="77777777" w:rsidR="00D37C20" w:rsidRPr="00082604" w:rsidRDefault="00D37C20" w:rsidP="007D4F15">
            <w:pPr>
              <w:pStyle w:val="BodyText"/>
              <w:rPr>
                <w:rFonts w:asciiTheme="majorHAnsi" w:eastAsia="Times New Roman" w:hAnsiTheme="majorHAnsi" w:cstheme="majorHAnsi"/>
                <w:color w:val="1F4E79" w:themeColor="accent1" w:themeShade="80"/>
                <w:lang w:val="hr-HR"/>
              </w:rPr>
            </w:pPr>
          </w:p>
        </w:tc>
      </w:tr>
      <w:tr w:rsidR="00D37C20" w:rsidRPr="00454565" w14:paraId="1A978228" w14:textId="77777777" w:rsidTr="007D4F15">
        <w:trPr>
          <w:trHeight w:val="292"/>
        </w:trPr>
        <w:tc>
          <w:tcPr>
            <w:tcW w:w="2295" w:type="dxa"/>
            <w:shd w:val="clear" w:color="auto" w:fill="auto"/>
            <w:noWrap/>
            <w:vAlign w:val="center"/>
          </w:tcPr>
          <w:p w14:paraId="25DC22B9" w14:textId="77777777" w:rsidR="00D37C20" w:rsidRPr="00DF7D9C" w:rsidRDefault="00D37C20"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lastRenderedPageBreak/>
              <w:t>Rok provedbe</w:t>
            </w:r>
          </w:p>
        </w:tc>
        <w:tc>
          <w:tcPr>
            <w:tcW w:w="7344" w:type="dxa"/>
            <w:gridSpan w:val="4"/>
            <w:shd w:val="clear" w:color="auto" w:fill="auto"/>
            <w:vAlign w:val="center"/>
          </w:tcPr>
          <w:p w14:paraId="092CE69B" w14:textId="77777777" w:rsidR="00D37C20" w:rsidRPr="00DF7D9C" w:rsidRDefault="00D37C20"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31.12.2020.</w:t>
            </w:r>
          </w:p>
        </w:tc>
      </w:tr>
      <w:tr w:rsidR="00D37C20" w:rsidRPr="00454565" w14:paraId="31D5BF3C" w14:textId="77777777" w:rsidTr="007D4F15">
        <w:trPr>
          <w:trHeight w:val="292"/>
        </w:trPr>
        <w:tc>
          <w:tcPr>
            <w:tcW w:w="2295" w:type="dxa"/>
            <w:shd w:val="clear" w:color="auto" w:fill="auto"/>
            <w:noWrap/>
            <w:vAlign w:val="center"/>
          </w:tcPr>
          <w:p w14:paraId="4168F4B3" w14:textId="77777777" w:rsidR="00D37C20" w:rsidRPr="00DF7D9C" w:rsidRDefault="00D37C20"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Iznos planiranih i utrošenih sredstava</w:t>
            </w:r>
          </w:p>
        </w:tc>
        <w:tc>
          <w:tcPr>
            <w:tcW w:w="3673" w:type="dxa"/>
            <w:shd w:val="clear" w:color="auto" w:fill="auto"/>
            <w:vAlign w:val="center"/>
          </w:tcPr>
          <w:p w14:paraId="72804B65" w14:textId="77777777" w:rsidR="00D37C20" w:rsidRPr="00B66DBF" w:rsidRDefault="00D37C20" w:rsidP="007D4F15">
            <w:pPr>
              <w:spacing w:after="0" w:line="240" w:lineRule="auto"/>
              <w:rPr>
                <w:rFonts w:asciiTheme="majorHAnsi" w:eastAsia="Times New Roman" w:hAnsiTheme="majorHAnsi" w:cstheme="majorHAnsi"/>
                <w:color w:val="AEAAAA" w:themeColor="background2" w:themeShade="BF"/>
                <w:lang w:val="hr-HR"/>
              </w:rPr>
            </w:pPr>
            <w:r w:rsidRPr="00DF7D9C">
              <w:rPr>
                <w:rFonts w:asciiTheme="majorHAnsi" w:eastAsia="Times New Roman" w:hAnsiTheme="majorHAnsi" w:cstheme="majorHAnsi"/>
                <w:bCs/>
                <w:iCs/>
                <w:szCs w:val="24"/>
                <w:lang w:val="hr-HR" w:eastAsia="hr-HR"/>
              </w:rPr>
              <w:t xml:space="preserve">Planirano: </w:t>
            </w:r>
            <w:r>
              <w:rPr>
                <w:rFonts w:asciiTheme="majorHAnsi" w:eastAsia="Times New Roman" w:hAnsiTheme="majorHAnsi" w:cstheme="majorHAnsi"/>
                <w:bCs/>
                <w:iCs/>
                <w:szCs w:val="24"/>
                <w:lang w:val="hr-HR" w:eastAsia="hr-HR"/>
              </w:rPr>
              <w:t>570</w:t>
            </w:r>
            <w:r w:rsidRPr="00DF7D9C">
              <w:rPr>
                <w:rFonts w:asciiTheme="majorHAnsi" w:eastAsia="Times New Roman" w:hAnsiTheme="majorHAnsi" w:cstheme="majorHAnsi"/>
                <w:bCs/>
                <w:iCs/>
                <w:szCs w:val="24"/>
                <w:lang w:val="hr-HR" w:eastAsia="hr-HR"/>
              </w:rPr>
              <w:t>.000,00 kn</w:t>
            </w:r>
          </w:p>
        </w:tc>
        <w:tc>
          <w:tcPr>
            <w:tcW w:w="3671" w:type="dxa"/>
            <w:gridSpan w:val="3"/>
            <w:shd w:val="clear" w:color="auto" w:fill="auto"/>
            <w:vAlign w:val="center"/>
          </w:tcPr>
          <w:p w14:paraId="3ED94FC3" w14:textId="77777777" w:rsidR="00D37C20" w:rsidRPr="00241C8D" w:rsidRDefault="00D37C20" w:rsidP="007D4F15">
            <w:pPr>
              <w:spacing w:after="0" w:line="240" w:lineRule="auto"/>
              <w:rPr>
                <w:rFonts w:asciiTheme="majorHAnsi" w:eastAsia="Times New Roman" w:hAnsiTheme="majorHAnsi" w:cstheme="majorHAnsi"/>
                <w:bCs/>
                <w:iCs/>
                <w:color w:val="AEAAAA" w:themeColor="background2" w:themeShade="BF"/>
                <w:szCs w:val="24"/>
                <w:lang w:val="hr-HR" w:eastAsia="hr-HR"/>
              </w:rPr>
            </w:pPr>
            <w:r w:rsidRPr="00241C8D">
              <w:rPr>
                <w:rFonts w:asciiTheme="majorHAnsi" w:eastAsia="Times New Roman" w:hAnsiTheme="majorHAnsi" w:cstheme="majorHAnsi"/>
                <w:bCs/>
                <w:iCs/>
                <w:szCs w:val="24"/>
                <w:lang w:val="hr-HR" w:eastAsia="hr-HR"/>
              </w:rPr>
              <w:t>Utrošeno: 91.500,00 kn</w:t>
            </w:r>
          </w:p>
        </w:tc>
      </w:tr>
      <w:tr w:rsidR="00D37C20" w:rsidRPr="00454565" w14:paraId="4C9116A3" w14:textId="77777777" w:rsidTr="007D4F15">
        <w:trPr>
          <w:trHeight w:val="292"/>
        </w:trPr>
        <w:tc>
          <w:tcPr>
            <w:tcW w:w="2295" w:type="dxa"/>
            <w:shd w:val="clear" w:color="auto" w:fill="auto"/>
            <w:noWrap/>
            <w:vAlign w:val="center"/>
          </w:tcPr>
          <w:p w14:paraId="70164101" w14:textId="77777777" w:rsidR="00D37C20" w:rsidRPr="00DF7D9C" w:rsidRDefault="00D37C20"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Izvor sredstava</w:t>
            </w:r>
          </w:p>
        </w:tc>
        <w:tc>
          <w:tcPr>
            <w:tcW w:w="7344" w:type="dxa"/>
            <w:gridSpan w:val="4"/>
            <w:shd w:val="clear" w:color="auto" w:fill="auto"/>
            <w:vAlign w:val="center"/>
          </w:tcPr>
          <w:p w14:paraId="20C8A5E5" w14:textId="77777777" w:rsidR="00D37C20" w:rsidRPr="00CA2D76" w:rsidRDefault="00D37C20" w:rsidP="007D4F15">
            <w:pPr>
              <w:pStyle w:val="BodyText"/>
              <w:rPr>
                <w:rFonts w:asciiTheme="majorHAnsi" w:eastAsia="Times New Roman" w:hAnsiTheme="majorHAnsi" w:cstheme="majorHAnsi"/>
                <w:color w:val="AEAAAA" w:themeColor="background2" w:themeShade="BF"/>
                <w:lang w:val="hr-HR"/>
              </w:rPr>
            </w:pPr>
            <w:r w:rsidRPr="00241C8D">
              <w:rPr>
                <w:rFonts w:asciiTheme="majorHAnsi" w:eastAsia="Times New Roman" w:hAnsiTheme="majorHAnsi" w:cstheme="majorHAnsi"/>
                <w:sz w:val="22"/>
                <w:lang w:val="hr-HR"/>
              </w:rPr>
              <w:t>EU sredstva i državni proračun</w:t>
            </w:r>
          </w:p>
        </w:tc>
      </w:tr>
      <w:tr w:rsidR="00D37C20" w:rsidRPr="00454565" w14:paraId="400A793C" w14:textId="77777777" w:rsidTr="007D4F15">
        <w:trPr>
          <w:trHeight w:val="292"/>
        </w:trPr>
        <w:tc>
          <w:tcPr>
            <w:tcW w:w="2295" w:type="dxa"/>
            <w:shd w:val="clear" w:color="auto" w:fill="auto"/>
            <w:noWrap/>
            <w:vAlign w:val="center"/>
          </w:tcPr>
          <w:p w14:paraId="751E39E3" w14:textId="77777777" w:rsidR="00D37C20" w:rsidRPr="00BC6671" w:rsidRDefault="00D37C20" w:rsidP="007D4F15">
            <w:pPr>
              <w:spacing w:after="0" w:line="240" w:lineRule="auto"/>
              <w:rPr>
                <w:rFonts w:asciiTheme="majorHAnsi" w:eastAsia="Times New Roman" w:hAnsiTheme="majorHAnsi" w:cstheme="majorHAnsi"/>
                <w:bCs/>
                <w:iCs/>
                <w:color w:val="767171" w:themeColor="background2" w:themeShade="80"/>
                <w:szCs w:val="24"/>
                <w:lang w:val="hr-HR" w:eastAsia="hr-HR"/>
              </w:rPr>
            </w:pPr>
            <w:r w:rsidRPr="00DF7D9C">
              <w:rPr>
                <w:rFonts w:asciiTheme="majorHAnsi" w:eastAsia="Times New Roman" w:hAnsiTheme="majorHAnsi" w:cstheme="majorHAnsi"/>
                <w:bCs/>
                <w:iCs/>
                <w:szCs w:val="24"/>
                <w:lang w:val="hr-HR" w:eastAsia="hr-HR"/>
              </w:rPr>
              <w:t>Rezultati provedbe</w:t>
            </w:r>
          </w:p>
        </w:tc>
        <w:tc>
          <w:tcPr>
            <w:tcW w:w="7344" w:type="dxa"/>
            <w:gridSpan w:val="4"/>
            <w:shd w:val="clear" w:color="auto" w:fill="auto"/>
            <w:vAlign w:val="center"/>
          </w:tcPr>
          <w:p w14:paraId="239FAF08" w14:textId="77777777" w:rsidR="00D37C20" w:rsidRPr="00DA06E4" w:rsidRDefault="00D37C20" w:rsidP="007D4F15">
            <w:pPr>
              <w:pStyle w:val="BodyText"/>
              <w:rPr>
                <w:rFonts w:asciiTheme="majorHAnsi" w:eastAsia="Times New Roman" w:hAnsiTheme="majorHAnsi" w:cstheme="majorHAnsi"/>
                <w:szCs w:val="22"/>
                <w:lang w:val="hr-HR"/>
              </w:rPr>
            </w:pPr>
            <w:r>
              <w:rPr>
                <w:rFonts w:asciiTheme="majorHAnsi" w:eastAsia="Times New Roman" w:hAnsiTheme="majorHAnsi" w:cstheme="majorHAnsi"/>
                <w:szCs w:val="22"/>
                <w:lang w:val="hr-HR"/>
              </w:rPr>
              <w:t>Cilj je u potpunosti ispunjen.</w:t>
            </w:r>
          </w:p>
        </w:tc>
      </w:tr>
    </w:tbl>
    <w:p w14:paraId="6CD9B688" w14:textId="77777777" w:rsidR="002D5A85" w:rsidRPr="00DF7D9C" w:rsidRDefault="002D5A85" w:rsidP="002D5A85">
      <w:pPr>
        <w:rPr>
          <w:lang w:val="hr-HR"/>
        </w:rPr>
      </w:pPr>
    </w:p>
    <w:p w14:paraId="773C6109" w14:textId="77777777" w:rsidR="00D20C38" w:rsidRDefault="00D20C38" w:rsidP="008C1448">
      <w:pPr>
        <w:pStyle w:val="Heading2"/>
        <w:numPr>
          <w:ilvl w:val="1"/>
          <w:numId w:val="2"/>
        </w:numPr>
        <w:rPr>
          <w:color w:val="auto"/>
        </w:rPr>
      </w:pPr>
      <w:bookmarkStart w:id="22" w:name="_Toc89761123"/>
      <w:r w:rsidRPr="00DF7D9C">
        <w:rPr>
          <w:color w:val="auto"/>
        </w:rPr>
        <w:lastRenderedPageBreak/>
        <w:t>Strateški cilj br. 4: Korištenje NIPP-a uređeno je odgovarajućim pravilima i politikama</w:t>
      </w:r>
      <w:bookmarkEnd w:id="22"/>
    </w:p>
    <w:p w14:paraId="62638A2F" w14:textId="77777777" w:rsidR="007D4F15" w:rsidRPr="007D4F15" w:rsidRDefault="007D4F15" w:rsidP="007D4F15">
      <w:pPr>
        <w:rPr>
          <w:lang w:val="hr-HR"/>
        </w:rPr>
      </w:pPr>
    </w:p>
    <w:tbl>
      <w:tblPr>
        <w:tblW w:w="963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95"/>
        <w:gridCol w:w="3672"/>
        <w:gridCol w:w="1258"/>
        <w:gridCol w:w="1134"/>
        <w:gridCol w:w="1280"/>
      </w:tblGrid>
      <w:tr w:rsidR="007721E9" w:rsidRPr="00454565" w14:paraId="2D0F2E2C" w14:textId="77777777" w:rsidTr="003A7020">
        <w:trPr>
          <w:trHeight w:val="760"/>
        </w:trPr>
        <w:tc>
          <w:tcPr>
            <w:tcW w:w="2295" w:type="dxa"/>
            <w:shd w:val="clear" w:color="auto" w:fill="auto"/>
            <w:noWrap/>
            <w:vAlign w:val="center"/>
          </w:tcPr>
          <w:p w14:paraId="1FB906EA"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Planirani operativni ciljevi</w:t>
            </w:r>
          </w:p>
        </w:tc>
        <w:tc>
          <w:tcPr>
            <w:tcW w:w="7344" w:type="dxa"/>
            <w:gridSpan w:val="4"/>
            <w:shd w:val="clear" w:color="auto" w:fill="auto"/>
            <w:vAlign w:val="center"/>
          </w:tcPr>
          <w:p w14:paraId="184B10AF" w14:textId="77777777" w:rsidR="007721E9" w:rsidRPr="00DF7D9C" w:rsidRDefault="007721E9" w:rsidP="007721E9">
            <w:pPr>
              <w:pStyle w:val="ListParagraph"/>
              <w:numPr>
                <w:ilvl w:val="0"/>
                <w:numId w:val="5"/>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Odobreno izvješće o zakonodavstvu EU</w:t>
            </w:r>
          </w:p>
          <w:p w14:paraId="12CBBC9A" w14:textId="77777777" w:rsidR="007721E9" w:rsidRPr="00DF7D9C" w:rsidRDefault="007721E9" w:rsidP="007721E9">
            <w:pPr>
              <w:pStyle w:val="ListParagraph"/>
              <w:numPr>
                <w:ilvl w:val="0"/>
                <w:numId w:val="5"/>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Razvijeni mehanizmi povratnih informacija</w:t>
            </w:r>
          </w:p>
        </w:tc>
      </w:tr>
      <w:tr w:rsidR="007721E9" w:rsidRPr="00454565" w14:paraId="2A14D519" w14:textId="77777777" w:rsidTr="003A7020">
        <w:trPr>
          <w:trHeight w:val="292"/>
        </w:trPr>
        <w:tc>
          <w:tcPr>
            <w:tcW w:w="2295" w:type="dxa"/>
            <w:shd w:val="clear" w:color="auto" w:fill="auto"/>
            <w:noWrap/>
            <w:vAlign w:val="center"/>
          </w:tcPr>
          <w:p w14:paraId="3A6B19BD"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Nadležna tijela</w:t>
            </w:r>
          </w:p>
        </w:tc>
        <w:tc>
          <w:tcPr>
            <w:tcW w:w="7344" w:type="dxa"/>
            <w:gridSpan w:val="4"/>
            <w:shd w:val="clear" w:color="auto" w:fill="auto"/>
            <w:vAlign w:val="center"/>
          </w:tcPr>
          <w:p w14:paraId="39C733A3"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DGU (NKT)</w:t>
            </w:r>
          </w:p>
        </w:tc>
      </w:tr>
      <w:tr w:rsidR="007721E9" w:rsidRPr="00454565" w14:paraId="3947FB10" w14:textId="77777777" w:rsidTr="003A7020">
        <w:trPr>
          <w:trHeight w:val="185"/>
        </w:trPr>
        <w:tc>
          <w:tcPr>
            <w:tcW w:w="2295" w:type="dxa"/>
            <w:vMerge w:val="restart"/>
            <w:shd w:val="clear" w:color="auto" w:fill="auto"/>
            <w:noWrap/>
            <w:vAlign w:val="center"/>
          </w:tcPr>
          <w:p w14:paraId="7C3FF499"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Pokazatelji</w:t>
            </w:r>
          </w:p>
        </w:tc>
        <w:tc>
          <w:tcPr>
            <w:tcW w:w="4930" w:type="dxa"/>
            <w:gridSpan w:val="2"/>
            <w:shd w:val="clear" w:color="auto" w:fill="auto"/>
            <w:vAlign w:val="center"/>
          </w:tcPr>
          <w:p w14:paraId="3C978D97" w14:textId="77777777" w:rsidR="007721E9" w:rsidRPr="00EB1964" w:rsidRDefault="007721E9" w:rsidP="003A7020">
            <w:pPr>
              <w:spacing w:after="0" w:line="240" w:lineRule="auto"/>
              <w:rPr>
                <w:rFonts w:asciiTheme="majorHAnsi" w:eastAsia="Times New Roman" w:hAnsiTheme="majorHAnsi" w:cstheme="majorHAnsi"/>
                <w:bCs/>
                <w:iCs/>
                <w:szCs w:val="24"/>
                <w:lang w:val="hr-HR" w:eastAsia="hr-HR"/>
              </w:rPr>
            </w:pPr>
          </w:p>
        </w:tc>
        <w:tc>
          <w:tcPr>
            <w:tcW w:w="1134" w:type="dxa"/>
            <w:shd w:val="clear" w:color="auto" w:fill="auto"/>
            <w:vAlign w:val="center"/>
          </w:tcPr>
          <w:p w14:paraId="1D1FA503" w14:textId="77777777" w:rsidR="007721E9" w:rsidRPr="00DF7D9C" w:rsidRDefault="00DE22AF" w:rsidP="003A7020">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Planirano</w:t>
            </w:r>
          </w:p>
        </w:tc>
        <w:tc>
          <w:tcPr>
            <w:tcW w:w="1280" w:type="dxa"/>
            <w:shd w:val="clear" w:color="auto" w:fill="auto"/>
            <w:vAlign w:val="center"/>
          </w:tcPr>
          <w:p w14:paraId="620A1EAF"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Ostvareno</w:t>
            </w:r>
          </w:p>
        </w:tc>
      </w:tr>
      <w:tr w:rsidR="007721E9" w:rsidRPr="00454565" w14:paraId="68FD7414" w14:textId="77777777" w:rsidTr="003A7020">
        <w:trPr>
          <w:trHeight w:val="185"/>
        </w:trPr>
        <w:tc>
          <w:tcPr>
            <w:tcW w:w="2295" w:type="dxa"/>
            <w:vMerge/>
            <w:shd w:val="clear" w:color="auto" w:fill="auto"/>
            <w:noWrap/>
            <w:vAlign w:val="center"/>
          </w:tcPr>
          <w:p w14:paraId="19776656" w14:textId="77777777" w:rsidR="007721E9" w:rsidRDefault="007721E9" w:rsidP="003A7020">
            <w:pPr>
              <w:spacing w:after="0" w:line="240" w:lineRule="auto"/>
              <w:rPr>
                <w:rFonts w:asciiTheme="majorHAnsi" w:eastAsia="Times New Roman" w:hAnsiTheme="majorHAnsi" w:cstheme="majorHAnsi"/>
                <w:bCs/>
                <w:iCs/>
                <w:szCs w:val="24"/>
                <w:lang w:val="hr-HR" w:eastAsia="hr-HR"/>
              </w:rPr>
            </w:pPr>
          </w:p>
        </w:tc>
        <w:tc>
          <w:tcPr>
            <w:tcW w:w="4930" w:type="dxa"/>
            <w:gridSpan w:val="2"/>
            <w:shd w:val="clear" w:color="auto" w:fill="auto"/>
            <w:vAlign w:val="center"/>
          </w:tcPr>
          <w:p w14:paraId="149DBCB3" w14:textId="77777777" w:rsidR="007721E9" w:rsidRPr="00EB1964" w:rsidRDefault="007721E9" w:rsidP="003A7020">
            <w:pPr>
              <w:spacing w:after="0" w:line="240" w:lineRule="auto"/>
              <w:rPr>
                <w:rFonts w:asciiTheme="majorHAnsi" w:eastAsia="Times New Roman" w:hAnsiTheme="majorHAnsi" w:cstheme="majorHAnsi"/>
                <w:bCs/>
                <w:iCs/>
                <w:szCs w:val="24"/>
                <w:lang w:val="hr-HR" w:eastAsia="hr-HR"/>
              </w:rPr>
            </w:pPr>
            <w:r w:rsidRPr="00EB1964">
              <w:rPr>
                <w:rFonts w:asciiTheme="majorHAnsi" w:eastAsia="Times New Roman" w:hAnsiTheme="majorHAnsi" w:cstheme="majorHAnsi"/>
                <w:bCs/>
                <w:iCs/>
                <w:szCs w:val="24"/>
                <w:lang w:val="hr-HR" w:eastAsia="hr-HR"/>
              </w:rPr>
              <w:t>Broj odobrenih izvještaja o zakonodavstvu EU</w:t>
            </w:r>
          </w:p>
        </w:tc>
        <w:tc>
          <w:tcPr>
            <w:tcW w:w="1134" w:type="dxa"/>
            <w:shd w:val="clear" w:color="auto" w:fill="auto"/>
            <w:vAlign w:val="center"/>
          </w:tcPr>
          <w:p w14:paraId="025CCF23" w14:textId="77777777" w:rsidR="007721E9" w:rsidRPr="00EB1964" w:rsidRDefault="007721E9" w:rsidP="003A7020">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w:t>
            </w:r>
          </w:p>
        </w:tc>
        <w:tc>
          <w:tcPr>
            <w:tcW w:w="1280" w:type="dxa"/>
            <w:shd w:val="clear" w:color="auto" w:fill="auto"/>
            <w:vAlign w:val="center"/>
          </w:tcPr>
          <w:p w14:paraId="3D83165B" w14:textId="77777777" w:rsidR="007721E9" w:rsidRPr="00EB1964" w:rsidRDefault="00DE22AF" w:rsidP="003A7020">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w:t>
            </w:r>
          </w:p>
        </w:tc>
      </w:tr>
      <w:tr w:rsidR="007721E9" w:rsidRPr="00454565" w14:paraId="5B2421BB" w14:textId="77777777" w:rsidTr="003A7020">
        <w:trPr>
          <w:trHeight w:val="185"/>
        </w:trPr>
        <w:tc>
          <w:tcPr>
            <w:tcW w:w="2295" w:type="dxa"/>
            <w:vMerge/>
            <w:shd w:val="clear" w:color="auto" w:fill="auto"/>
            <w:noWrap/>
            <w:vAlign w:val="center"/>
          </w:tcPr>
          <w:p w14:paraId="5E5B1DFF" w14:textId="77777777" w:rsidR="007721E9" w:rsidRDefault="007721E9" w:rsidP="003A7020">
            <w:pPr>
              <w:spacing w:after="0" w:line="240" w:lineRule="auto"/>
              <w:rPr>
                <w:rFonts w:asciiTheme="majorHAnsi" w:eastAsia="Times New Roman" w:hAnsiTheme="majorHAnsi" w:cstheme="majorHAnsi"/>
                <w:bCs/>
                <w:iCs/>
                <w:szCs w:val="24"/>
                <w:lang w:val="hr-HR" w:eastAsia="hr-HR"/>
              </w:rPr>
            </w:pPr>
          </w:p>
        </w:tc>
        <w:tc>
          <w:tcPr>
            <w:tcW w:w="4930" w:type="dxa"/>
            <w:gridSpan w:val="2"/>
            <w:shd w:val="clear" w:color="auto" w:fill="auto"/>
            <w:vAlign w:val="center"/>
          </w:tcPr>
          <w:p w14:paraId="689AADB4" w14:textId="77777777" w:rsidR="007721E9" w:rsidRPr="00EB1964" w:rsidRDefault="007721E9" w:rsidP="003A7020">
            <w:pPr>
              <w:spacing w:after="0" w:line="240" w:lineRule="auto"/>
              <w:rPr>
                <w:rFonts w:asciiTheme="majorHAnsi" w:eastAsia="Times New Roman" w:hAnsiTheme="majorHAnsi" w:cstheme="majorHAnsi"/>
                <w:bCs/>
                <w:iCs/>
                <w:szCs w:val="24"/>
                <w:lang w:val="hr-HR" w:eastAsia="hr-HR"/>
              </w:rPr>
            </w:pPr>
            <w:r w:rsidRPr="00EB1964">
              <w:rPr>
                <w:rFonts w:asciiTheme="majorHAnsi" w:eastAsia="Times New Roman" w:hAnsiTheme="majorHAnsi" w:cstheme="majorHAnsi"/>
                <w:bCs/>
                <w:iCs/>
                <w:szCs w:val="24"/>
                <w:lang w:val="hr-HR" w:eastAsia="hr-HR"/>
              </w:rPr>
              <w:t>Broj razvijenih mehanizama povratnih informacija</w:t>
            </w:r>
          </w:p>
        </w:tc>
        <w:tc>
          <w:tcPr>
            <w:tcW w:w="1134" w:type="dxa"/>
            <w:shd w:val="clear" w:color="auto" w:fill="auto"/>
            <w:vAlign w:val="center"/>
          </w:tcPr>
          <w:p w14:paraId="1106CC14" w14:textId="77777777" w:rsidR="007721E9" w:rsidRPr="00EB1964" w:rsidRDefault="007721E9" w:rsidP="003A7020">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w:t>
            </w:r>
          </w:p>
        </w:tc>
        <w:tc>
          <w:tcPr>
            <w:tcW w:w="1280" w:type="dxa"/>
            <w:shd w:val="clear" w:color="auto" w:fill="auto"/>
            <w:vAlign w:val="center"/>
          </w:tcPr>
          <w:p w14:paraId="4CCFCE24" w14:textId="77777777" w:rsidR="007721E9" w:rsidRPr="00EB1964" w:rsidRDefault="007721E9" w:rsidP="003A7020">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w:t>
            </w:r>
          </w:p>
        </w:tc>
      </w:tr>
      <w:tr w:rsidR="007721E9" w:rsidRPr="00454565" w14:paraId="2BDE3B83" w14:textId="77777777" w:rsidTr="003A7020">
        <w:trPr>
          <w:trHeight w:val="1457"/>
        </w:trPr>
        <w:tc>
          <w:tcPr>
            <w:tcW w:w="2295" w:type="dxa"/>
            <w:shd w:val="clear" w:color="auto" w:fill="auto"/>
            <w:noWrap/>
            <w:vAlign w:val="center"/>
          </w:tcPr>
          <w:p w14:paraId="142ED6EE" w14:textId="77777777" w:rsidR="007721E9" w:rsidRDefault="007721E9" w:rsidP="003A7020">
            <w:pPr>
              <w:spacing w:after="0" w:line="240" w:lineRule="auto"/>
              <w:rPr>
                <w:rFonts w:asciiTheme="majorHAnsi" w:eastAsia="Times New Roman" w:hAnsiTheme="majorHAnsi" w:cstheme="majorHAnsi"/>
                <w:bCs/>
                <w:iCs/>
                <w:color w:val="767171" w:themeColor="background2" w:themeShade="80"/>
                <w:szCs w:val="24"/>
                <w:lang w:val="hr-HR" w:eastAsia="hr-HR"/>
              </w:rPr>
            </w:pPr>
            <w:r w:rsidRPr="00DF7D9C">
              <w:rPr>
                <w:rFonts w:asciiTheme="majorHAnsi" w:eastAsia="Times New Roman" w:hAnsiTheme="majorHAnsi" w:cstheme="majorHAnsi"/>
                <w:bCs/>
                <w:iCs/>
                <w:szCs w:val="24"/>
                <w:lang w:val="hr-HR" w:eastAsia="hr-HR"/>
              </w:rPr>
              <w:t>Provedene aktivnosti</w:t>
            </w:r>
          </w:p>
        </w:tc>
        <w:tc>
          <w:tcPr>
            <w:tcW w:w="7344" w:type="dxa"/>
            <w:gridSpan w:val="4"/>
            <w:shd w:val="clear" w:color="auto" w:fill="auto"/>
            <w:vAlign w:val="center"/>
          </w:tcPr>
          <w:p w14:paraId="63F833B0" w14:textId="77777777" w:rsidR="007721E9" w:rsidRPr="00E55103" w:rsidRDefault="007721E9" w:rsidP="0035687C">
            <w:pPr>
              <w:spacing w:after="0" w:line="240" w:lineRule="auto"/>
              <w:jc w:val="both"/>
              <w:rPr>
                <w:rFonts w:asciiTheme="majorHAnsi" w:eastAsia="Times New Roman" w:hAnsiTheme="majorHAnsi" w:cstheme="majorHAnsi"/>
                <w:lang w:val="hr-HR"/>
              </w:rPr>
            </w:pPr>
            <w:r w:rsidRPr="00E55103">
              <w:rPr>
                <w:rFonts w:asciiTheme="majorHAnsi" w:eastAsia="Times New Roman" w:hAnsiTheme="majorHAnsi" w:cstheme="majorHAnsi"/>
                <w:lang w:val="hr-HR"/>
              </w:rPr>
              <w:t xml:space="preserve">Operativni ciljevi Strateškog cilja br. 4 su prema Strategiji NIPP-a imali za cilj usklađenost Zakona o NIPP-u s drugim dijelovima hrvatskog zakonodavstva i zakonodavstva EU. U svrhu provođenja ovih ciljeva izrađena su dva Izvješća 2017. i 2018. godine - </w:t>
            </w:r>
            <w:r w:rsidRPr="00E55103">
              <w:rPr>
                <w:rFonts w:asciiTheme="majorHAnsi" w:eastAsia="Times New Roman" w:hAnsiTheme="majorHAnsi" w:cstheme="majorHAnsi"/>
                <w:i/>
                <w:lang w:val="hr-HR"/>
              </w:rPr>
              <w:t>Izvješće o praćenju europskog zakonodavstva u sektoru zaštite okoliša i politika otvorenih podataka koje uzima u obzir INSPIRE direktiva i njihovog prijenosa u hrvatsko zakonodavstvo – Godišnje izvješće</w:t>
            </w:r>
            <w:r w:rsidRPr="00E55103">
              <w:rPr>
                <w:rFonts w:asciiTheme="majorHAnsi" w:eastAsia="Times New Roman" w:hAnsiTheme="majorHAnsi" w:cstheme="majorHAnsi"/>
                <w:lang w:val="hr-HR"/>
              </w:rPr>
              <w:t>. Ovim je Izvješćima dan pregled europskog zakonodavstva, direktiva i ostalih regulativa Europske unije u području zaštite okoliša i otvoren</w:t>
            </w:r>
            <w:r>
              <w:rPr>
                <w:rFonts w:asciiTheme="majorHAnsi" w:eastAsia="Times New Roman" w:hAnsiTheme="majorHAnsi" w:cstheme="majorHAnsi"/>
                <w:lang w:val="hr-HR"/>
              </w:rPr>
              <w:t>ih podataka koje uzima u obzir D</w:t>
            </w:r>
            <w:r w:rsidRPr="00E55103">
              <w:rPr>
                <w:rFonts w:asciiTheme="majorHAnsi" w:eastAsia="Times New Roman" w:hAnsiTheme="majorHAnsi" w:cstheme="majorHAnsi"/>
                <w:lang w:val="hr-HR"/>
              </w:rPr>
              <w:t xml:space="preserve">irektiva INSPIRE (2007/2/EZ) u svom uvodnom dijelu, kao i analizu njihovog prijenosa u hrvatsko zakonodavstvo. Nacionalna kontaktna točka u okviru svog djelokruga ima zadaću redovito pratiti europski zakonodavni okvir i analizirati njegov utjecaj na hrvatsko zakonodavstvo u području razvoja NIPP-a i otvorenih podataka te sukladno tome predlagati ažuriranje hrvatskog zakonodavstva. </w:t>
            </w:r>
          </w:p>
          <w:p w14:paraId="43E3CEDD" w14:textId="77777777" w:rsidR="007721E9" w:rsidRPr="00E55103" w:rsidRDefault="007721E9" w:rsidP="0035687C">
            <w:pPr>
              <w:pStyle w:val="BodyText"/>
              <w:jc w:val="both"/>
              <w:rPr>
                <w:rFonts w:asciiTheme="majorHAnsi" w:eastAsia="Times New Roman" w:hAnsiTheme="majorHAnsi" w:cstheme="majorHAnsi"/>
                <w:sz w:val="22"/>
                <w:lang w:val="hr-HR"/>
              </w:rPr>
            </w:pPr>
          </w:p>
          <w:p w14:paraId="1583CBA8" w14:textId="77777777" w:rsidR="007721E9" w:rsidRPr="00E55103" w:rsidRDefault="007721E9" w:rsidP="0035687C">
            <w:pPr>
              <w:pStyle w:val="BodyText"/>
              <w:jc w:val="both"/>
              <w:rPr>
                <w:rFonts w:asciiTheme="majorHAnsi" w:eastAsia="Times New Roman" w:hAnsiTheme="majorHAnsi" w:cstheme="majorHAnsi"/>
                <w:sz w:val="22"/>
                <w:lang w:val="hr-HR"/>
              </w:rPr>
            </w:pPr>
            <w:r w:rsidRPr="00E55103">
              <w:rPr>
                <w:rFonts w:asciiTheme="majorHAnsi" w:eastAsia="Times New Roman" w:hAnsiTheme="majorHAnsi" w:cstheme="majorHAnsi"/>
                <w:sz w:val="22"/>
                <w:lang w:val="hr-HR"/>
              </w:rPr>
              <w:t xml:space="preserve">Sukladno tome, Zakon o NIPP-u je doživio dva puta izmjene i dopune u provedbenom razdoblju Strategije. Prvi puta je Zakon bio izmijenjen i dopunjen u 2018. godini donošenjem </w:t>
            </w:r>
            <w:r w:rsidRPr="00E55103">
              <w:rPr>
                <w:rFonts w:asciiTheme="majorHAnsi" w:eastAsia="Times New Roman" w:hAnsiTheme="majorHAnsi" w:cstheme="majorHAnsi"/>
                <w:i/>
                <w:sz w:val="22"/>
                <w:lang w:val="hr-HR"/>
              </w:rPr>
              <w:t>Zakona o izmjenama i dopuni Zakona o Nacionalnoj infrastrukturi prostornih podataka (NN 52/18)</w:t>
            </w:r>
            <w:r w:rsidRPr="00E55103">
              <w:rPr>
                <w:rFonts w:asciiTheme="majorHAnsi" w:eastAsia="Times New Roman" w:hAnsiTheme="majorHAnsi" w:cstheme="majorHAnsi"/>
                <w:sz w:val="22"/>
                <w:lang w:val="hr-HR"/>
              </w:rPr>
              <w:t xml:space="preserve"> kojim se u potpunosti usklađuje sa odredbama Direktive INSPIRE</w:t>
            </w:r>
            <w:r>
              <w:rPr>
                <w:rFonts w:asciiTheme="majorHAnsi" w:eastAsia="Times New Roman" w:hAnsiTheme="majorHAnsi" w:cstheme="majorHAnsi"/>
                <w:sz w:val="22"/>
                <w:lang w:val="hr-HR"/>
              </w:rPr>
              <w:t xml:space="preserve"> </w:t>
            </w:r>
            <w:r w:rsidRPr="00DC239D">
              <w:rPr>
                <w:rFonts w:asciiTheme="majorHAnsi" w:eastAsia="Times New Roman" w:hAnsiTheme="majorHAnsi" w:cstheme="majorHAnsi"/>
                <w:sz w:val="22"/>
                <w:szCs w:val="22"/>
                <w:lang w:val="hr-HR"/>
              </w:rPr>
              <w:t>(EZ/2007/2)</w:t>
            </w:r>
            <w:r w:rsidRPr="00E55103">
              <w:rPr>
                <w:rFonts w:asciiTheme="majorHAnsi" w:eastAsia="Times New Roman" w:hAnsiTheme="majorHAnsi" w:cstheme="majorHAnsi"/>
                <w:sz w:val="22"/>
                <w:lang w:val="hr-HR"/>
              </w:rPr>
              <w:t>. Zakonom se uređuju opisi tema prostornih podataka (Skupina I, II i III), preciznije se definira Registar NIPP-a kao i njegov sadržaj te se detaljnije razrađuju ograničenja pristupa prostornim podacima putem mrežnih usluga.</w:t>
            </w:r>
          </w:p>
          <w:p w14:paraId="7C289790" w14:textId="77777777" w:rsidR="007721E9" w:rsidRPr="00E55103" w:rsidRDefault="007721E9" w:rsidP="0035687C">
            <w:pPr>
              <w:pStyle w:val="BodyText"/>
              <w:jc w:val="both"/>
              <w:rPr>
                <w:rFonts w:asciiTheme="majorHAnsi" w:eastAsia="Times New Roman" w:hAnsiTheme="majorHAnsi" w:cstheme="majorHAnsi"/>
                <w:sz w:val="22"/>
                <w:lang w:val="hr-HR"/>
              </w:rPr>
            </w:pPr>
          </w:p>
          <w:p w14:paraId="3C4B5D9C" w14:textId="77777777" w:rsidR="007721E9" w:rsidRPr="00E55103" w:rsidRDefault="007721E9" w:rsidP="0035687C">
            <w:pPr>
              <w:pStyle w:val="BodyText"/>
              <w:jc w:val="both"/>
              <w:rPr>
                <w:rFonts w:asciiTheme="majorHAnsi" w:eastAsia="Times New Roman" w:hAnsiTheme="majorHAnsi" w:cstheme="majorHAnsi"/>
                <w:sz w:val="22"/>
                <w:lang w:val="hr-HR"/>
              </w:rPr>
            </w:pPr>
            <w:r>
              <w:rPr>
                <w:rFonts w:asciiTheme="majorHAnsi" w:eastAsia="Times New Roman" w:hAnsiTheme="majorHAnsi" w:cstheme="majorHAnsi"/>
                <w:sz w:val="22"/>
                <w:lang w:val="hr-HR"/>
              </w:rPr>
              <w:t>Druga izmjena</w:t>
            </w:r>
            <w:r w:rsidRPr="00E55103">
              <w:rPr>
                <w:rFonts w:asciiTheme="majorHAnsi" w:eastAsia="Times New Roman" w:hAnsiTheme="majorHAnsi" w:cstheme="majorHAnsi"/>
                <w:sz w:val="22"/>
                <w:lang w:val="hr-HR"/>
              </w:rPr>
              <w:t xml:space="preserve"> Zakona o NIPP-u (NN 50/20) </w:t>
            </w:r>
            <w:r>
              <w:rPr>
                <w:rFonts w:asciiTheme="majorHAnsi" w:eastAsia="Times New Roman" w:hAnsiTheme="majorHAnsi" w:cstheme="majorHAnsi"/>
                <w:sz w:val="22"/>
                <w:lang w:val="hr-HR"/>
              </w:rPr>
              <w:t xml:space="preserve">je uslijedila </w:t>
            </w:r>
            <w:r w:rsidRPr="00E55103">
              <w:rPr>
                <w:rFonts w:asciiTheme="majorHAnsi" w:eastAsia="Times New Roman" w:hAnsiTheme="majorHAnsi" w:cstheme="majorHAnsi"/>
                <w:sz w:val="22"/>
                <w:lang w:val="hr-HR"/>
              </w:rPr>
              <w:t>2020. godine sukladno stupanju na snagu Uredbe (EU) 2019/1010 Europskog parlamenta i Vijeća od 5. lipnja 2019. o usklađivanju obveza izvješćivanja u području zakonodavstva povezanoga s okolišem te o izmjeni Uredaba (EZ) br. 166/2006 i (EU) br. 995/2010 Europskog parlamenta i Vijeća, direktiva 2002/49/EZ, 2004/35/EZ, 2007/2/EZ, 2009/147/EZ i 2010/63/EU Europskog parlamenta i Vijeća, uredaba Vijeća (EZ) br. 338/97 i (EZ) br. 2173/2005 te Direktive Vijeća 86/278/EEZ. Istom je izmjenom Zakon o NIPP-u (NN 50/20) usklađen sa Zakonom o državnoj informacijskoj infrastrukturi (NN 92/14) u smislu razmjene podataka između subjekata NIPP-a.</w:t>
            </w:r>
          </w:p>
          <w:p w14:paraId="3252EB89" w14:textId="77777777" w:rsidR="007721E9" w:rsidRPr="00E55103" w:rsidRDefault="007721E9" w:rsidP="0035687C">
            <w:pPr>
              <w:pStyle w:val="BodyText"/>
              <w:jc w:val="both"/>
              <w:rPr>
                <w:rFonts w:asciiTheme="majorHAnsi" w:eastAsia="Times New Roman" w:hAnsiTheme="majorHAnsi" w:cstheme="majorHAnsi"/>
                <w:sz w:val="22"/>
                <w:lang w:val="hr-HR"/>
              </w:rPr>
            </w:pPr>
          </w:p>
          <w:p w14:paraId="3222B3A6" w14:textId="549DD9BC" w:rsidR="007721E9" w:rsidRPr="00E55103" w:rsidRDefault="007721E9" w:rsidP="0035687C">
            <w:pPr>
              <w:pStyle w:val="BodyText"/>
              <w:jc w:val="both"/>
              <w:rPr>
                <w:rFonts w:asciiTheme="majorHAnsi" w:eastAsia="Times New Roman" w:hAnsiTheme="majorHAnsi" w:cstheme="majorHAnsi"/>
                <w:sz w:val="22"/>
                <w:lang w:val="hr-HR"/>
              </w:rPr>
            </w:pPr>
            <w:r w:rsidRPr="00E55103">
              <w:rPr>
                <w:rFonts w:asciiTheme="majorHAnsi" w:eastAsia="Times New Roman" w:hAnsiTheme="majorHAnsi" w:cstheme="majorHAnsi"/>
                <w:sz w:val="22"/>
                <w:lang w:val="hr-HR"/>
              </w:rPr>
              <w:t xml:space="preserve">Kako bi nacionalna provedbena pravila bila u skladu s </w:t>
            </w:r>
            <w:r w:rsidR="00BA14A1">
              <w:rPr>
                <w:rFonts w:asciiTheme="majorHAnsi" w:eastAsia="Times New Roman" w:hAnsiTheme="majorHAnsi" w:cstheme="majorHAnsi"/>
                <w:sz w:val="22"/>
                <w:lang w:val="hr-HR"/>
              </w:rPr>
              <w:t>ažuriranim</w:t>
            </w:r>
            <w:r w:rsidRPr="00E55103">
              <w:rPr>
                <w:rFonts w:asciiTheme="majorHAnsi" w:eastAsia="Times New Roman" w:hAnsiTheme="majorHAnsi" w:cstheme="majorHAnsi"/>
                <w:sz w:val="22"/>
                <w:lang w:val="hr-HR"/>
              </w:rPr>
              <w:t xml:space="preserve"> Provedbenim pravilima za </w:t>
            </w:r>
            <w:proofErr w:type="spellStart"/>
            <w:r w:rsidRPr="00E55103">
              <w:rPr>
                <w:rFonts w:asciiTheme="majorHAnsi" w:eastAsia="Times New Roman" w:hAnsiTheme="majorHAnsi" w:cstheme="majorHAnsi"/>
                <w:sz w:val="22"/>
                <w:lang w:val="hr-HR"/>
              </w:rPr>
              <w:t>metapodatke</w:t>
            </w:r>
            <w:proofErr w:type="spellEnd"/>
            <w:r w:rsidRPr="00E55103">
              <w:rPr>
                <w:rFonts w:asciiTheme="majorHAnsi" w:eastAsia="Times New Roman" w:hAnsiTheme="majorHAnsi" w:cstheme="majorHAnsi"/>
                <w:sz w:val="22"/>
                <w:lang w:val="hr-HR"/>
              </w:rPr>
              <w:t xml:space="preserve"> „</w:t>
            </w:r>
            <w:r w:rsidRPr="00E55103">
              <w:rPr>
                <w:rFonts w:asciiTheme="majorHAnsi" w:eastAsia="Times New Roman" w:hAnsiTheme="majorHAnsi" w:cstheme="majorHAnsi"/>
                <w:sz w:val="22"/>
              </w:rPr>
              <w:t>Technical Guidelines for implementing dataset and service metadata based on ISO/RS 19139:2007</w:t>
            </w:r>
            <w:r w:rsidRPr="00E55103">
              <w:rPr>
                <w:rFonts w:asciiTheme="majorHAnsi" w:eastAsia="Times New Roman" w:hAnsiTheme="majorHAnsi" w:cstheme="majorHAnsi"/>
                <w:sz w:val="22"/>
                <w:lang w:val="hr-HR"/>
              </w:rPr>
              <w:t xml:space="preserve">“ izrađena je nova verzija Specifikacije </w:t>
            </w:r>
            <w:proofErr w:type="spellStart"/>
            <w:r w:rsidRPr="00E55103">
              <w:rPr>
                <w:rFonts w:asciiTheme="majorHAnsi" w:eastAsia="Times New Roman" w:hAnsiTheme="majorHAnsi" w:cstheme="majorHAnsi"/>
                <w:sz w:val="22"/>
                <w:lang w:val="hr-HR"/>
              </w:rPr>
              <w:t>metapodataka</w:t>
            </w:r>
            <w:proofErr w:type="spellEnd"/>
            <w:r w:rsidRPr="00E55103">
              <w:rPr>
                <w:rFonts w:asciiTheme="majorHAnsi" w:eastAsia="Times New Roman" w:hAnsiTheme="majorHAnsi" w:cstheme="majorHAnsi"/>
                <w:sz w:val="22"/>
                <w:lang w:val="hr-HR"/>
              </w:rPr>
              <w:t xml:space="preserve"> Nacionalne infrastrukture prostornih podataka v.3.0. U Specifikaciji je naglasak na provedbenim pravilima </w:t>
            </w:r>
            <w:proofErr w:type="spellStart"/>
            <w:r w:rsidRPr="00E55103">
              <w:rPr>
                <w:rFonts w:asciiTheme="majorHAnsi" w:eastAsia="Times New Roman" w:hAnsiTheme="majorHAnsi" w:cstheme="majorHAnsi"/>
                <w:sz w:val="22"/>
                <w:lang w:val="hr-HR"/>
              </w:rPr>
              <w:t>xml</w:t>
            </w:r>
            <w:proofErr w:type="spellEnd"/>
            <w:r w:rsidRPr="00E55103">
              <w:rPr>
                <w:rFonts w:asciiTheme="majorHAnsi" w:eastAsia="Times New Roman" w:hAnsiTheme="majorHAnsi" w:cstheme="majorHAnsi"/>
                <w:sz w:val="22"/>
                <w:lang w:val="hr-HR"/>
              </w:rPr>
              <w:t xml:space="preserve"> kodiranja elemenata </w:t>
            </w:r>
            <w:proofErr w:type="spellStart"/>
            <w:r w:rsidRPr="00E55103">
              <w:rPr>
                <w:rFonts w:asciiTheme="majorHAnsi" w:eastAsia="Times New Roman" w:hAnsiTheme="majorHAnsi" w:cstheme="majorHAnsi"/>
                <w:sz w:val="22"/>
                <w:lang w:val="hr-HR"/>
              </w:rPr>
              <w:lastRenderedPageBreak/>
              <w:t>metapodataka</w:t>
            </w:r>
            <w:proofErr w:type="spellEnd"/>
            <w:r w:rsidRPr="00E55103">
              <w:rPr>
                <w:rFonts w:asciiTheme="majorHAnsi" w:eastAsia="Times New Roman" w:hAnsiTheme="majorHAnsi" w:cstheme="majorHAnsi"/>
                <w:sz w:val="22"/>
                <w:lang w:val="hr-HR"/>
              </w:rPr>
              <w:t xml:space="preserve"> u skladu s normom ISO:19139 koja je uzeta kao referentni, internacionalni standard za kodiranje </w:t>
            </w:r>
            <w:proofErr w:type="spellStart"/>
            <w:r w:rsidRPr="00E55103">
              <w:rPr>
                <w:rFonts w:asciiTheme="majorHAnsi" w:eastAsia="Times New Roman" w:hAnsiTheme="majorHAnsi" w:cstheme="majorHAnsi"/>
                <w:sz w:val="22"/>
                <w:lang w:val="hr-HR"/>
              </w:rPr>
              <w:t>metapodataka</w:t>
            </w:r>
            <w:proofErr w:type="spellEnd"/>
            <w:r w:rsidRPr="00E55103">
              <w:rPr>
                <w:rFonts w:asciiTheme="majorHAnsi" w:eastAsia="Times New Roman" w:hAnsiTheme="majorHAnsi" w:cstheme="majorHAnsi"/>
                <w:sz w:val="22"/>
                <w:lang w:val="hr-HR"/>
              </w:rPr>
              <w:t xml:space="preserve">. Posebni su napori uloženi kako bi se postojeći sustav </w:t>
            </w:r>
            <w:proofErr w:type="spellStart"/>
            <w:r w:rsidRPr="00E55103">
              <w:rPr>
                <w:rFonts w:asciiTheme="majorHAnsi" w:eastAsia="Times New Roman" w:hAnsiTheme="majorHAnsi" w:cstheme="majorHAnsi"/>
                <w:sz w:val="22"/>
                <w:lang w:val="hr-HR"/>
              </w:rPr>
              <w:t>metapodataka</w:t>
            </w:r>
            <w:proofErr w:type="spellEnd"/>
            <w:r w:rsidRPr="00E55103">
              <w:rPr>
                <w:rFonts w:asciiTheme="majorHAnsi" w:eastAsia="Times New Roman" w:hAnsiTheme="majorHAnsi" w:cstheme="majorHAnsi"/>
                <w:sz w:val="22"/>
                <w:lang w:val="hr-HR"/>
              </w:rPr>
              <w:t xml:space="preserve"> na </w:t>
            </w:r>
            <w:proofErr w:type="spellStart"/>
            <w:r w:rsidRPr="00E55103">
              <w:rPr>
                <w:rFonts w:asciiTheme="majorHAnsi" w:eastAsia="Times New Roman" w:hAnsiTheme="majorHAnsi" w:cstheme="majorHAnsi"/>
                <w:sz w:val="22"/>
                <w:lang w:val="hr-HR"/>
              </w:rPr>
              <w:t>Geoportalu</w:t>
            </w:r>
            <w:proofErr w:type="spellEnd"/>
            <w:r w:rsidRPr="00E55103">
              <w:rPr>
                <w:rFonts w:asciiTheme="majorHAnsi" w:eastAsia="Times New Roman" w:hAnsiTheme="majorHAnsi" w:cstheme="majorHAnsi"/>
                <w:sz w:val="22"/>
                <w:lang w:val="hr-HR"/>
              </w:rPr>
              <w:t xml:space="preserve"> NIPP-a, koji je bio izrađen u skladu s normama EN ISO 19115 i EN ISO 19119, unaprijedio na novu razinu s novim klasama usklađenosti koje sadrže dodatne elemente. Postupak nadogradnje Kataloga </w:t>
            </w:r>
            <w:proofErr w:type="spellStart"/>
            <w:r w:rsidRPr="00E55103">
              <w:rPr>
                <w:rFonts w:asciiTheme="majorHAnsi" w:eastAsia="Times New Roman" w:hAnsiTheme="majorHAnsi" w:cstheme="majorHAnsi"/>
                <w:sz w:val="22"/>
                <w:lang w:val="hr-HR"/>
              </w:rPr>
              <w:t>metapodataka</w:t>
            </w:r>
            <w:proofErr w:type="spellEnd"/>
            <w:r w:rsidRPr="00E55103">
              <w:rPr>
                <w:rFonts w:asciiTheme="majorHAnsi" w:eastAsia="Times New Roman" w:hAnsiTheme="majorHAnsi" w:cstheme="majorHAnsi"/>
                <w:sz w:val="22"/>
                <w:lang w:val="hr-HR"/>
              </w:rPr>
              <w:t xml:space="preserve"> na </w:t>
            </w:r>
            <w:proofErr w:type="spellStart"/>
            <w:r w:rsidRPr="00E55103">
              <w:rPr>
                <w:rFonts w:asciiTheme="majorHAnsi" w:eastAsia="Times New Roman" w:hAnsiTheme="majorHAnsi" w:cstheme="majorHAnsi"/>
                <w:sz w:val="22"/>
                <w:lang w:val="hr-HR"/>
              </w:rPr>
              <w:t>Geoportalu</w:t>
            </w:r>
            <w:proofErr w:type="spellEnd"/>
            <w:r w:rsidRPr="00E55103">
              <w:rPr>
                <w:rFonts w:asciiTheme="majorHAnsi" w:eastAsia="Times New Roman" w:hAnsiTheme="majorHAnsi" w:cstheme="majorHAnsi"/>
                <w:sz w:val="22"/>
                <w:lang w:val="hr-HR"/>
              </w:rPr>
              <w:t xml:space="preserve"> NIPP-a u skladu s novom Specifikacijom </w:t>
            </w:r>
            <w:proofErr w:type="spellStart"/>
            <w:r w:rsidRPr="00E55103">
              <w:rPr>
                <w:rFonts w:asciiTheme="majorHAnsi" w:eastAsia="Times New Roman" w:hAnsiTheme="majorHAnsi" w:cstheme="majorHAnsi"/>
                <w:sz w:val="22"/>
                <w:lang w:val="hr-HR"/>
              </w:rPr>
              <w:t>metapodataka</w:t>
            </w:r>
            <w:proofErr w:type="spellEnd"/>
            <w:r w:rsidRPr="00E55103">
              <w:rPr>
                <w:rFonts w:asciiTheme="majorHAnsi" w:eastAsia="Times New Roman" w:hAnsiTheme="majorHAnsi" w:cstheme="majorHAnsi"/>
                <w:sz w:val="22"/>
                <w:lang w:val="hr-HR"/>
              </w:rPr>
              <w:t xml:space="preserve"> NIPP-a v.3.0 je trajao n</w:t>
            </w:r>
            <w:r w:rsidR="00CB104F">
              <w:rPr>
                <w:rFonts w:asciiTheme="majorHAnsi" w:eastAsia="Times New Roman" w:hAnsiTheme="majorHAnsi" w:cstheme="majorHAnsi"/>
                <w:sz w:val="22"/>
                <w:lang w:val="hr-HR"/>
              </w:rPr>
              <w:t xml:space="preserve">ekoliko mjeseci, a rezultat je </w:t>
            </w:r>
            <w:r w:rsidRPr="00E55103">
              <w:rPr>
                <w:rFonts w:asciiTheme="majorHAnsi" w:eastAsia="Times New Roman" w:hAnsiTheme="majorHAnsi" w:cstheme="majorHAnsi"/>
                <w:sz w:val="22"/>
                <w:lang w:val="hr-HR"/>
              </w:rPr>
              <w:t>obavezne usklađenosti s</w:t>
            </w:r>
            <w:r w:rsidR="00F460DF">
              <w:rPr>
                <w:rFonts w:asciiTheme="majorHAnsi" w:eastAsia="Times New Roman" w:hAnsiTheme="majorHAnsi" w:cstheme="majorHAnsi"/>
                <w:sz w:val="22"/>
                <w:lang w:val="hr-HR"/>
              </w:rPr>
              <w:t xml:space="preserve"> </w:t>
            </w:r>
            <w:r w:rsidRPr="00E55103">
              <w:rPr>
                <w:rFonts w:asciiTheme="majorHAnsi" w:eastAsia="Times New Roman" w:hAnsiTheme="majorHAnsi" w:cstheme="majorHAnsi"/>
                <w:sz w:val="22"/>
                <w:lang w:val="hr-HR"/>
              </w:rPr>
              <w:t xml:space="preserve"> </w:t>
            </w:r>
            <w:r w:rsidR="00EC693F" w:rsidRPr="00E55103">
              <w:rPr>
                <w:rFonts w:asciiTheme="majorHAnsi" w:eastAsia="Times New Roman" w:hAnsiTheme="majorHAnsi" w:cstheme="majorHAnsi"/>
                <w:sz w:val="22"/>
                <w:lang w:val="hr-HR"/>
              </w:rPr>
              <w:t>„</w:t>
            </w:r>
            <w:r w:rsidR="00EC693F" w:rsidRPr="00E55103">
              <w:rPr>
                <w:rFonts w:asciiTheme="majorHAnsi" w:eastAsia="Times New Roman" w:hAnsiTheme="majorHAnsi" w:cstheme="majorHAnsi"/>
                <w:sz w:val="22"/>
              </w:rPr>
              <w:t>Technical Guidelines for implementing dataset and service metadata based on ISO/RS 19139:2007</w:t>
            </w:r>
            <w:r w:rsidR="00EC693F" w:rsidRPr="00E55103">
              <w:rPr>
                <w:rFonts w:asciiTheme="majorHAnsi" w:eastAsia="Times New Roman" w:hAnsiTheme="majorHAnsi" w:cstheme="majorHAnsi"/>
                <w:sz w:val="22"/>
                <w:lang w:val="hr-HR"/>
              </w:rPr>
              <w:t xml:space="preserve">“ </w:t>
            </w:r>
            <w:r w:rsidR="00F460DF">
              <w:rPr>
                <w:rFonts w:asciiTheme="majorHAnsi" w:eastAsia="Times New Roman" w:hAnsiTheme="majorHAnsi" w:cstheme="majorHAnsi"/>
                <w:sz w:val="22"/>
                <w:lang w:val="hr-HR"/>
              </w:rPr>
              <w:t xml:space="preserve">baziranim na </w:t>
            </w:r>
            <w:r w:rsidR="0077748A">
              <w:rPr>
                <w:rFonts w:asciiTheme="majorHAnsi" w:eastAsia="Times New Roman" w:hAnsiTheme="majorHAnsi" w:cstheme="majorHAnsi"/>
                <w:sz w:val="22"/>
                <w:lang w:val="hr-HR"/>
              </w:rPr>
              <w:t xml:space="preserve">Uredbama komisije </w:t>
            </w:r>
            <w:r w:rsidR="0074407B">
              <w:rPr>
                <w:rFonts w:asciiTheme="majorHAnsi" w:eastAsia="Times New Roman" w:hAnsiTheme="majorHAnsi" w:cstheme="majorHAnsi"/>
                <w:sz w:val="22"/>
                <w:lang w:val="hr-HR"/>
              </w:rPr>
              <w:t xml:space="preserve">br. </w:t>
            </w:r>
            <w:r w:rsidR="0077748A">
              <w:rPr>
                <w:rFonts w:asciiTheme="majorHAnsi" w:eastAsia="Times New Roman" w:hAnsiTheme="majorHAnsi" w:cstheme="majorHAnsi"/>
                <w:sz w:val="22"/>
                <w:lang w:val="hr-HR"/>
              </w:rPr>
              <w:t>1205/2008</w:t>
            </w:r>
            <w:r w:rsidR="0074407B">
              <w:rPr>
                <w:rFonts w:asciiTheme="majorHAnsi" w:eastAsia="Times New Roman" w:hAnsiTheme="majorHAnsi" w:cstheme="majorHAnsi"/>
                <w:sz w:val="22"/>
                <w:lang w:val="hr-HR"/>
              </w:rPr>
              <w:t>, te 1089/2010</w:t>
            </w:r>
            <w:r w:rsidR="00CB104F">
              <w:rPr>
                <w:rFonts w:asciiTheme="majorHAnsi" w:eastAsia="Times New Roman" w:hAnsiTheme="majorHAnsi" w:cstheme="majorHAnsi"/>
                <w:sz w:val="22"/>
                <w:lang w:val="hr-HR"/>
              </w:rPr>
              <w:t xml:space="preserve"> te omogućuje</w:t>
            </w:r>
            <w:r w:rsidR="0077748A">
              <w:rPr>
                <w:rFonts w:asciiTheme="majorHAnsi" w:eastAsia="Times New Roman" w:hAnsiTheme="majorHAnsi" w:cstheme="majorHAnsi"/>
                <w:sz w:val="22"/>
                <w:lang w:val="hr-HR"/>
              </w:rPr>
              <w:t xml:space="preserve"> </w:t>
            </w:r>
            <w:r w:rsidRPr="00E55103">
              <w:rPr>
                <w:rFonts w:asciiTheme="majorHAnsi" w:eastAsia="Times New Roman" w:hAnsiTheme="majorHAnsi" w:cstheme="majorHAnsi"/>
                <w:sz w:val="22"/>
                <w:lang w:val="hr-HR"/>
              </w:rPr>
              <w:t xml:space="preserve">jednostavnije manipuliranje </w:t>
            </w:r>
            <w:proofErr w:type="spellStart"/>
            <w:r w:rsidRPr="00E55103">
              <w:rPr>
                <w:rFonts w:asciiTheme="majorHAnsi" w:eastAsia="Times New Roman" w:hAnsiTheme="majorHAnsi" w:cstheme="majorHAnsi"/>
                <w:sz w:val="22"/>
                <w:lang w:val="hr-HR"/>
              </w:rPr>
              <w:t>metapodacima</w:t>
            </w:r>
            <w:proofErr w:type="spellEnd"/>
            <w:r w:rsidRPr="00E55103">
              <w:rPr>
                <w:rFonts w:asciiTheme="majorHAnsi" w:eastAsia="Times New Roman" w:hAnsiTheme="majorHAnsi" w:cstheme="majorHAnsi"/>
                <w:sz w:val="22"/>
                <w:lang w:val="hr-HR"/>
              </w:rPr>
              <w:t xml:space="preserve"> za korisnike </w:t>
            </w:r>
            <w:r w:rsidR="00CB104F">
              <w:rPr>
                <w:rFonts w:asciiTheme="majorHAnsi" w:eastAsia="Times New Roman" w:hAnsiTheme="majorHAnsi" w:cstheme="majorHAnsi"/>
                <w:sz w:val="22"/>
                <w:lang w:val="hr-HR"/>
              </w:rPr>
              <w:t>i</w:t>
            </w:r>
            <w:r w:rsidRPr="00E55103">
              <w:rPr>
                <w:rFonts w:asciiTheme="majorHAnsi" w:eastAsia="Times New Roman" w:hAnsiTheme="majorHAnsi" w:cstheme="majorHAnsi"/>
                <w:sz w:val="22"/>
                <w:lang w:val="hr-HR"/>
              </w:rPr>
              <w:t xml:space="preserve"> jasniji pregled podataka.</w:t>
            </w:r>
          </w:p>
          <w:p w14:paraId="7852A8B7" w14:textId="77777777" w:rsidR="007721E9" w:rsidRPr="00E55103" w:rsidRDefault="007721E9" w:rsidP="0035687C">
            <w:pPr>
              <w:pStyle w:val="BodyText"/>
              <w:jc w:val="both"/>
              <w:rPr>
                <w:rFonts w:asciiTheme="majorHAnsi" w:eastAsia="Times New Roman" w:hAnsiTheme="majorHAnsi" w:cstheme="majorHAnsi"/>
                <w:lang w:val="hr-HR"/>
              </w:rPr>
            </w:pPr>
          </w:p>
          <w:p w14:paraId="161F6447" w14:textId="77777777" w:rsidR="007721E9" w:rsidRDefault="007721E9" w:rsidP="0035687C">
            <w:pPr>
              <w:pStyle w:val="BodyText"/>
              <w:jc w:val="both"/>
              <w:rPr>
                <w:rFonts w:asciiTheme="majorHAnsi" w:eastAsia="Times New Roman" w:hAnsiTheme="majorHAnsi" w:cstheme="majorHAnsi"/>
                <w:sz w:val="22"/>
                <w:szCs w:val="22"/>
                <w:lang w:val="hr-HR"/>
              </w:rPr>
            </w:pPr>
            <w:r>
              <w:rPr>
                <w:rFonts w:asciiTheme="majorHAnsi" w:eastAsia="Times New Roman" w:hAnsiTheme="majorHAnsi" w:cstheme="majorHAnsi"/>
                <w:sz w:val="22"/>
                <w:szCs w:val="22"/>
                <w:lang w:val="hr-HR"/>
              </w:rPr>
              <w:t>Mehanizmi povratnih informacija koji su sastavni dio ovog cilja uključuju:</w:t>
            </w:r>
          </w:p>
          <w:p w14:paraId="4D56AB91" w14:textId="77777777" w:rsidR="007721E9" w:rsidRDefault="007721E9" w:rsidP="0035687C">
            <w:pPr>
              <w:pStyle w:val="BodyText"/>
              <w:ind w:left="315"/>
              <w:jc w:val="both"/>
              <w:rPr>
                <w:rFonts w:asciiTheme="majorHAnsi" w:eastAsia="Times New Roman" w:hAnsiTheme="majorHAnsi" w:cstheme="majorHAnsi"/>
                <w:sz w:val="22"/>
                <w:szCs w:val="22"/>
                <w:lang w:val="hr-HR"/>
              </w:rPr>
            </w:pPr>
          </w:p>
          <w:p w14:paraId="1100C739" w14:textId="77777777" w:rsidR="007721E9" w:rsidRDefault="007721E9" w:rsidP="0035687C">
            <w:pPr>
              <w:pStyle w:val="BodyText"/>
              <w:numPr>
                <w:ilvl w:val="0"/>
                <w:numId w:val="12"/>
              </w:numPr>
              <w:jc w:val="both"/>
              <w:rPr>
                <w:rFonts w:asciiTheme="majorHAnsi" w:eastAsia="Times New Roman" w:hAnsiTheme="majorHAnsi" w:cstheme="majorHAnsi"/>
                <w:sz w:val="22"/>
                <w:szCs w:val="22"/>
                <w:lang w:val="hr-HR"/>
              </w:rPr>
            </w:pPr>
            <w:r>
              <w:rPr>
                <w:rFonts w:asciiTheme="majorHAnsi" w:eastAsia="Times New Roman" w:hAnsiTheme="majorHAnsi" w:cstheme="majorHAnsi"/>
                <w:sz w:val="22"/>
                <w:szCs w:val="22"/>
                <w:lang w:val="hr-HR"/>
              </w:rPr>
              <w:t>Kontakt formu na mrežnoj stranici NIPP-a</w:t>
            </w:r>
          </w:p>
          <w:p w14:paraId="65E79E9C" w14:textId="77777777" w:rsidR="007721E9" w:rsidRDefault="007721E9" w:rsidP="0035687C">
            <w:pPr>
              <w:pStyle w:val="BodyText"/>
              <w:numPr>
                <w:ilvl w:val="0"/>
                <w:numId w:val="12"/>
              </w:numPr>
              <w:jc w:val="both"/>
              <w:rPr>
                <w:rFonts w:asciiTheme="majorHAnsi" w:eastAsia="Times New Roman" w:hAnsiTheme="majorHAnsi" w:cstheme="majorHAnsi"/>
                <w:sz w:val="22"/>
                <w:szCs w:val="22"/>
                <w:lang w:val="hr-HR"/>
              </w:rPr>
            </w:pPr>
            <w:r>
              <w:rPr>
                <w:rFonts w:asciiTheme="majorHAnsi" w:eastAsia="Times New Roman" w:hAnsiTheme="majorHAnsi" w:cstheme="majorHAnsi"/>
                <w:sz w:val="22"/>
                <w:szCs w:val="22"/>
                <w:lang w:val="hr-HR"/>
              </w:rPr>
              <w:t xml:space="preserve">Mogućnost ocjenjivanja </w:t>
            </w:r>
            <w:r w:rsidR="00DE22AF">
              <w:rPr>
                <w:rFonts w:asciiTheme="majorHAnsi" w:eastAsia="Times New Roman" w:hAnsiTheme="majorHAnsi" w:cstheme="majorHAnsi"/>
                <w:sz w:val="22"/>
                <w:szCs w:val="22"/>
                <w:lang w:val="hr-HR"/>
              </w:rPr>
              <w:t xml:space="preserve">kvalitete </w:t>
            </w:r>
            <w:proofErr w:type="spellStart"/>
            <w:r w:rsidR="00DE22AF">
              <w:rPr>
                <w:rFonts w:asciiTheme="majorHAnsi" w:eastAsia="Times New Roman" w:hAnsiTheme="majorHAnsi" w:cstheme="majorHAnsi"/>
                <w:sz w:val="22"/>
                <w:szCs w:val="22"/>
                <w:lang w:val="hr-HR"/>
              </w:rPr>
              <w:t>metapodataka</w:t>
            </w:r>
            <w:proofErr w:type="spellEnd"/>
            <w:r w:rsidR="00DE22AF">
              <w:rPr>
                <w:rFonts w:asciiTheme="majorHAnsi" w:eastAsia="Times New Roman" w:hAnsiTheme="majorHAnsi" w:cstheme="majorHAnsi"/>
                <w:sz w:val="22"/>
                <w:szCs w:val="22"/>
                <w:lang w:val="hr-HR"/>
              </w:rPr>
              <w:t xml:space="preserve"> te izrade</w:t>
            </w:r>
            <w:r>
              <w:rPr>
                <w:rFonts w:asciiTheme="majorHAnsi" w:eastAsia="Times New Roman" w:hAnsiTheme="majorHAnsi" w:cstheme="majorHAnsi"/>
                <w:sz w:val="22"/>
                <w:szCs w:val="22"/>
                <w:lang w:val="hr-HR"/>
              </w:rPr>
              <w:t xml:space="preserve"> recenzij</w:t>
            </w:r>
            <w:r w:rsidR="00DE22AF">
              <w:rPr>
                <w:rFonts w:asciiTheme="majorHAnsi" w:eastAsia="Times New Roman" w:hAnsiTheme="majorHAnsi" w:cstheme="majorHAnsi"/>
                <w:sz w:val="22"/>
                <w:szCs w:val="22"/>
                <w:lang w:val="hr-HR"/>
              </w:rPr>
              <w:t>a</w:t>
            </w:r>
            <w:r>
              <w:rPr>
                <w:rFonts w:asciiTheme="majorHAnsi" w:eastAsia="Times New Roman" w:hAnsiTheme="majorHAnsi" w:cstheme="majorHAnsi"/>
                <w:sz w:val="22"/>
                <w:szCs w:val="22"/>
                <w:lang w:val="hr-HR"/>
              </w:rPr>
              <w:t xml:space="preserve"> na </w:t>
            </w:r>
            <w:proofErr w:type="spellStart"/>
            <w:r>
              <w:rPr>
                <w:rFonts w:asciiTheme="majorHAnsi" w:eastAsia="Times New Roman" w:hAnsiTheme="majorHAnsi" w:cstheme="majorHAnsi"/>
                <w:sz w:val="22"/>
                <w:szCs w:val="22"/>
                <w:lang w:val="hr-HR"/>
              </w:rPr>
              <w:t>Geoportalu</w:t>
            </w:r>
            <w:proofErr w:type="spellEnd"/>
            <w:r>
              <w:rPr>
                <w:rFonts w:asciiTheme="majorHAnsi" w:eastAsia="Times New Roman" w:hAnsiTheme="majorHAnsi" w:cstheme="majorHAnsi"/>
                <w:sz w:val="22"/>
                <w:szCs w:val="22"/>
                <w:lang w:val="hr-HR"/>
              </w:rPr>
              <w:t xml:space="preserve"> NIPP-a.</w:t>
            </w:r>
          </w:p>
          <w:p w14:paraId="01BCBCC3" w14:textId="77777777" w:rsidR="007721E9" w:rsidRDefault="007721E9" w:rsidP="0035687C">
            <w:pPr>
              <w:pStyle w:val="BodyText"/>
              <w:ind w:left="675"/>
              <w:jc w:val="both"/>
              <w:rPr>
                <w:rFonts w:asciiTheme="majorHAnsi" w:eastAsia="Times New Roman" w:hAnsiTheme="majorHAnsi" w:cstheme="majorHAnsi"/>
                <w:sz w:val="22"/>
                <w:szCs w:val="22"/>
                <w:lang w:val="hr-HR"/>
              </w:rPr>
            </w:pPr>
          </w:p>
          <w:p w14:paraId="40A24282" w14:textId="42ECF57E" w:rsidR="007721E9" w:rsidRPr="00E55103" w:rsidRDefault="007721E9" w:rsidP="00634E19">
            <w:pPr>
              <w:pStyle w:val="BodyText"/>
              <w:jc w:val="both"/>
              <w:rPr>
                <w:rFonts w:asciiTheme="majorHAnsi" w:eastAsia="Times New Roman" w:hAnsiTheme="majorHAnsi" w:cstheme="majorHAnsi"/>
                <w:lang w:val="hr-HR"/>
              </w:rPr>
            </w:pPr>
            <w:r>
              <w:rPr>
                <w:rFonts w:asciiTheme="majorHAnsi" w:eastAsia="Times New Roman" w:hAnsiTheme="majorHAnsi" w:cstheme="majorHAnsi"/>
                <w:sz w:val="22"/>
                <w:szCs w:val="22"/>
                <w:lang w:val="hr-HR"/>
              </w:rPr>
              <w:t>N</w:t>
            </w:r>
            <w:r w:rsidRPr="00EF693C">
              <w:rPr>
                <w:rFonts w:asciiTheme="majorHAnsi" w:eastAsia="Times New Roman" w:hAnsiTheme="majorHAnsi" w:cstheme="majorHAnsi"/>
                <w:sz w:val="22"/>
                <w:szCs w:val="22"/>
                <w:lang w:val="hr-HR"/>
              </w:rPr>
              <w:t xml:space="preserve">a mrežnoj stranici NIPP-a </w:t>
            </w:r>
            <w:r>
              <w:rPr>
                <w:rFonts w:asciiTheme="majorHAnsi" w:eastAsia="Times New Roman" w:hAnsiTheme="majorHAnsi" w:cstheme="majorHAnsi"/>
                <w:sz w:val="22"/>
                <w:szCs w:val="22"/>
                <w:lang w:val="hr-HR"/>
              </w:rPr>
              <w:t xml:space="preserve">je </w:t>
            </w:r>
            <w:r w:rsidRPr="00EF693C">
              <w:rPr>
                <w:rFonts w:asciiTheme="majorHAnsi" w:eastAsia="Times New Roman" w:hAnsiTheme="majorHAnsi" w:cstheme="majorHAnsi"/>
                <w:sz w:val="22"/>
                <w:szCs w:val="22"/>
                <w:lang w:val="hr-HR"/>
              </w:rPr>
              <w:t>dostupan obrazac za</w:t>
            </w:r>
            <w:r>
              <w:rPr>
                <w:rFonts w:asciiTheme="majorHAnsi" w:eastAsia="Times New Roman" w:hAnsiTheme="majorHAnsi" w:cstheme="majorHAnsi"/>
                <w:sz w:val="22"/>
                <w:szCs w:val="22"/>
                <w:lang w:val="hr-HR"/>
              </w:rPr>
              <w:t xml:space="preserve"> kontakt i povratne informacije u kojem korisnik može ostaviti poruku</w:t>
            </w:r>
            <w:r w:rsidR="00DE22AF">
              <w:rPr>
                <w:rFonts w:asciiTheme="majorHAnsi" w:eastAsia="Times New Roman" w:hAnsiTheme="majorHAnsi" w:cstheme="majorHAnsi"/>
                <w:sz w:val="22"/>
                <w:szCs w:val="22"/>
                <w:lang w:val="hr-HR"/>
              </w:rPr>
              <w:t xml:space="preserve"> ili komentar ili upit te isti</w:t>
            </w:r>
            <w:r>
              <w:rPr>
                <w:rFonts w:asciiTheme="majorHAnsi" w:eastAsia="Times New Roman" w:hAnsiTheme="majorHAnsi" w:cstheme="majorHAnsi"/>
                <w:sz w:val="22"/>
                <w:szCs w:val="22"/>
                <w:lang w:val="hr-HR"/>
              </w:rPr>
              <w:t xml:space="preserve"> poslati Službi za NIPP.</w:t>
            </w:r>
            <w:r w:rsidR="0035687C">
              <w:rPr>
                <w:rFonts w:asciiTheme="majorHAnsi" w:eastAsia="Times New Roman" w:hAnsiTheme="majorHAnsi" w:cstheme="majorHAnsi"/>
                <w:sz w:val="22"/>
                <w:szCs w:val="22"/>
                <w:lang w:val="hr-HR"/>
              </w:rPr>
              <w:t xml:space="preserve"> </w:t>
            </w:r>
            <w:r>
              <w:rPr>
                <w:rFonts w:asciiTheme="majorHAnsi" w:eastAsia="Times New Roman" w:hAnsiTheme="majorHAnsi" w:cstheme="majorHAnsi"/>
                <w:sz w:val="22"/>
                <w:szCs w:val="22"/>
                <w:lang w:val="hr-HR"/>
              </w:rPr>
              <w:t xml:space="preserve">Također </w:t>
            </w:r>
            <w:r w:rsidRPr="00EF693C">
              <w:rPr>
                <w:rFonts w:asciiTheme="majorHAnsi" w:eastAsia="Times New Roman" w:hAnsiTheme="majorHAnsi" w:cstheme="majorHAnsi"/>
                <w:sz w:val="22"/>
                <w:szCs w:val="22"/>
                <w:lang w:val="hr-HR"/>
              </w:rPr>
              <w:t>Geoportal NIPP</w:t>
            </w:r>
            <w:r>
              <w:rPr>
                <w:rFonts w:asciiTheme="majorHAnsi" w:eastAsia="Times New Roman" w:hAnsiTheme="majorHAnsi" w:cstheme="majorHAnsi"/>
                <w:sz w:val="22"/>
                <w:szCs w:val="22"/>
                <w:lang w:val="hr-HR"/>
              </w:rPr>
              <w:t>-a</w:t>
            </w:r>
            <w:r w:rsidRPr="00EF693C">
              <w:rPr>
                <w:rFonts w:asciiTheme="majorHAnsi" w:eastAsia="Times New Roman" w:hAnsiTheme="majorHAnsi" w:cstheme="majorHAnsi"/>
                <w:sz w:val="22"/>
                <w:szCs w:val="22"/>
                <w:lang w:val="hr-HR"/>
              </w:rPr>
              <w:t xml:space="preserve"> sadrži mogućnost dodavanja povratnih informacija na skupove i usluge NIPP-a</w:t>
            </w:r>
            <w:r>
              <w:rPr>
                <w:rFonts w:asciiTheme="majorHAnsi" w:eastAsia="Times New Roman" w:hAnsiTheme="majorHAnsi" w:cstheme="majorHAnsi"/>
                <w:sz w:val="22"/>
                <w:szCs w:val="22"/>
                <w:lang w:val="hr-HR"/>
              </w:rPr>
              <w:t xml:space="preserve"> i njihove </w:t>
            </w:r>
            <w:proofErr w:type="spellStart"/>
            <w:r>
              <w:rPr>
                <w:rFonts w:asciiTheme="majorHAnsi" w:eastAsia="Times New Roman" w:hAnsiTheme="majorHAnsi" w:cstheme="majorHAnsi"/>
                <w:sz w:val="22"/>
                <w:szCs w:val="22"/>
                <w:lang w:val="hr-HR"/>
              </w:rPr>
              <w:t>metapodatke</w:t>
            </w:r>
            <w:proofErr w:type="spellEnd"/>
            <w:r w:rsidRPr="00EF693C">
              <w:rPr>
                <w:rFonts w:asciiTheme="majorHAnsi" w:eastAsia="Times New Roman" w:hAnsiTheme="majorHAnsi" w:cstheme="majorHAnsi"/>
                <w:sz w:val="22"/>
                <w:szCs w:val="22"/>
                <w:lang w:val="hr-HR"/>
              </w:rPr>
              <w:t xml:space="preserve">. Korisnici mogu ostaviti svoju recenziju i ocijeniti podatke s pet zvjezdica prema </w:t>
            </w:r>
            <w:r>
              <w:rPr>
                <w:rFonts w:asciiTheme="majorHAnsi" w:eastAsia="Times New Roman" w:hAnsiTheme="majorHAnsi" w:cstheme="majorHAnsi"/>
                <w:sz w:val="22"/>
                <w:szCs w:val="22"/>
                <w:lang w:val="hr-HR"/>
              </w:rPr>
              <w:t xml:space="preserve">pet </w:t>
            </w:r>
            <w:r w:rsidRPr="00EF693C">
              <w:rPr>
                <w:rFonts w:asciiTheme="majorHAnsi" w:eastAsia="Times New Roman" w:hAnsiTheme="majorHAnsi" w:cstheme="majorHAnsi"/>
                <w:sz w:val="22"/>
                <w:szCs w:val="22"/>
                <w:lang w:val="hr-HR"/>
              </w:rPr>
              <w:t>kriterija</w:t>
            </w:r>
            <w:r>
              <w:rPr>
                <w:rFonts w:asciiTheme="majorHAnsi" w:eastAsia="Times New Roman" w:hAnsiTheme="majorHAnsi" w:cstheme="majorHAnsi"/>
                <w:sz w:val="22"/>
                <w:szCs w:val="22"/>
                <w:lang w:val="hr-HR"/>
              </w:rPr>
              <w:t>:</w:t>
            </w:r>
            <w:r w:rsidRPr="00EF693C">
              <w:rPr>
                <w:rFonts w:asciiTheme="majorHAnsi" w:eastAsia="Times New Roman" w:hAnsiTheme="majorHAnsi" w:cstheme="majorHAnsi"/>
                <w:sz w:val="22"/>
                <w:szCs w:val="22"/>
                <w:lang w:val="hr-HR"/>
              </w:rPr>
              <w:t xml:space="preserve"> završenosti, </w:t>
            </w:r>
            <w:proofErr w:type="spellStart"/>
            <w:r w:rsidRPr="00EF693C">
              <w:rPr>
                <w:rFonts w:asciiTheme="majorHAnsi" w:eastAsia="Times New Roman" w:hAnsiTheme="majorHAnsi" w:cstheme="majorHAnsi"/>
                <w:sz w:val="22"/>
                <w:szCs w:val="22"/>
                <w:lang w:val="hr-HR"/>
              </w:rPr>
              <w:t>pronalažljivosti</w:t>
            </w:r>
            <w:proofErr w:type="spellEnd"/>
            <w:r w:rsidRPr="00EF693C">
              <w:rPr>
                <w:rFonts w:asciiTheme="majorHAnsi" w:eastAsia="Times New Roman" w:hAnsiTheme="majorHAnsi" w:cstheme="majorHAnsi"/>
                <w:sz w:val="22"/>
                <w:szCs w:val="22"/>
                <w:lang w:val="hr-HR"/>
              </w:rPr>
              <w:t>, čitljivosti i kvalitete usluga i skupova.</w:t>
            </w:r>
          </w:p>
        </w:tc>
      </w:tr>
      <w:tr w:rsidR="007721E9" w:rsidRPr="00454565" w14:paraId="37F04672" w14:textId="77777777" w:rsidTr="003A7020">
        <w:trPr>
          <w:trHeight w:val="292"/>
        </w:trPr>
        <w:tc>
          <w:tcPr>
            <w:tcW w:w="2295" w:type="dxa"/>
            <w:shd w:val="clear" w:color="auto" w:fill="auto"/>
            <w:noWrap/>
            <w:vAlign w:val="center"/>
          </w:tcPr>
          <w:p w14:paraId="079DE99C"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lastRenderedPageBreak/>
              <w:t>Rok provedbe</w:t>
            </w:r>
          </w:p>
        </w:tc>
        <w:tc>
          <w:tcPr>
            <w:tcW w:w="7344" w:type="dxa"/>
            <w:gridSpan w:val="4"/>
            <w:shd w:val="clear" w:color="auto" w:fill="auto"/>
            <w:vAlign w:val="center"/>
          </w:tcPr>
          <w:p w14:paraId="5017B10E"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31.12.2020.</w:t>
            </w:r>
          </w:p>
        </w:tc>
      </w:tr>
      <w:tr w:rsidR="007721E9" w:rsidRPr="00454565" w14:paraId="0CAAE042" w14:textId="77777777" w:rsidTr="003A7020">
        <w:trPr>
          <w:trHeight w:val="292"/>
        </w:trPr>
        <w:tc>
          <w:tcPr>
            <w:tcW w:w="2295" w:type="dxa"/>
            <w:shd w:val="clear" w:color="auto" w:fill="auto"/>
            <w:noWrap/>
            <w:vAlign w:val="center"/>
          </w:tcPr>
          <w:p w14:paraId="17CB4D85"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Iznos planiranih i utrošenih sredstava</w:t>
            </w:r>
          </w:p>
        </w:tc>
        <w:tc>
          <w:tcPr>
            <w:tcW w:w="3672" w:type="dxa"/>
            <w:shd w:val="clear" w:color="auto" w:fill="auto"/>
            <w:vAlign w:val="center"/>
          </w:tcPr>
          <w:p w14:paraId="6D69B371" w14:textId="77777777" w:rsidR="007721E9"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Planirano: 0 kn</w:t>
            </w:r>
          </w:p>
          <w:p w14:paraId="0B15E4E0" w14:textId="77777777" w:rsidR="007721E9" w:rsidRDefault="007721E9" w:rsidP="003A7020">
            <w:pPr>
              <w:spacing w:after="0" w:line="240" w:lineRule="auto"/>
              <w:rPr>
                <w:rFonts w:asciiTheme="majorHAnsi" w:eastAsia="Times New Roman" w:hAnsiTheme="majorHAnsi" w:cstheme="majorHAnsi"/>
                <w:bCs/>
                <w:iCs/>
                <w:szCs w:val="24"/>
                <w:lang w:val="hr-HR" w:eastAsia="hr-HR"/>
              </w:rPr>
            </w:pPr>
          </w:p>
          <w:p w14:paraId="61FA0B5D" w14:textId="77777777" w:rsidR="007721E9" w:rsidRPr="00B66DBF" w:rsidRDefault="007721E9" w:rsidP="003A7020">
            <w:pPr>
              <w:pStyle w:val="BodyText"/>
              <w:ind w:left="315"/>
              <w:rPr>
                <w:rFonts w:asciiTheme="majorHAnsi" w:eastAsia="Times New Roman" w:hAnsiTheme="majorHAnsi" w:cstheme="majorHAnsi"/>
                <w:color w:val="AEAAAA" w:themeColor="background2" w:themeShade="BF"/>
                <w:lang w:val="hr-HR"/>
              </w:rPr>
            </w:pPr>
          </w:p>
        </w:tc>
        <w:tc>
          <w:tcPr>
            <w:tcW w:w="3672" w:type="dxa"/>
            <w:gridSpan w:val="3"/>
            <w:shd w:val="clear" w:color="auto" w:fill="auto"/>
            <w:vAlign w:val="center"/>
          </w:tcPr>
          <w:p w14:paraId="5092CC25" w14:textId="77777777" w:rsidR="007721E9" w:rsidRPr="00E72EF7" w:rsidRDefault="007721E9" w:rsidP="003A7020">
            <w:pPr>
              <w:spacing w:after="0" w:line="240" w:lineRule="auto"/>
              <w:rPr>
                <w:rFonts w:asciiTheme="majorHAnsi" w:eastAsia="Times New Roman" w:hAnsiTheme="majorHAnsi" w:cstheme="majorHAnsi"/>
                <w:bCs/>
                <w:iCs/>
                <w:szCs w:val="24"/>
                <w:lang w:val="hr-HR" w:eastAsia="hr-HR"/>
              </w:rPr>
            </w:pPr>
            <w:r w:rsidRPr="00E72EF7">
              <w:rPr>
                <w:rFonts w:asciiTheme="majorHAnsi" w:eastAsia="Times New Roman" w:hAnsiTheme="majorHAnsi" w:cstheme="majorHAnsi"/>
                <w:bCs/>
                <w:iCs/>
                <w:szCs w:val="24"/>
                <w:lang w:val="hr-HR" w:eastAsia="hr-HR"/>
              </w:rPr>
              <w:t>Utrošeno: 0 kn</w:t>
            </w:r>
          </w:p>
          <w:p w14:paraId="2AAE8DB8" w14:textId="77777777" w:rsidR="007721E9" w:rsidRDefault="007721E9" w:rsidP="003A7020">
            <w:pPr>
              <w:spacing w:after="0" w:line="240" w:lineRule="auto"/>
              <w:rPr>
                <w:rFonts w:asciiTheme="majorHAnsi" w:eastAsia="Times New Roman" w:hAnsiTheme="majorHAnsi" w:cstheme="majorHAnsi"/>
                <w:bCs/>
                <w:iCs/>
                <w:color w:val="AEAAAA" w:themeColor="background2" w:themeShade="BF"/>
                <w:szCs w:val="24"/>
                <w:lang w:val="hr-HR" w:eastAsia="hr-HR"/>
              </w:rPr>
            </w:pPr>
          </w:p>
          <w:p w14:paraId="057FA35D" w14:textId="77777777" w:rsidR="007721E9" w:rsidRPr="00B66DBF" w:rsidRDefault="007721E9" w:rsidP="003A7020">
            <w:pPr>
              <w:pStyle w:val="BodyText"/>
              <w:ind w:left="315"/>
              <w:rPr>
                <w:rFonts w:asciiTheme="majorHAnsi" w:eastAsia="Times New Roman" w:hAnsiTheme="majorHAnsi" w:cstheme="majorHAnsi"/>
                <w:color w:val="AEAAAA" w:themeColor="background2" w:themeShade="BF"/>
                <w:lang w:val="hr-HR"/>
              </w:rPr>
            </w:pPr>
          </w:p>
        </w:tc>
      </w:tr>
      <w:tr w:rsidR="007721E9" w:rsidRPr="00454565" w14:paraId="79C4C1EA" w14:textId="77777777" w:rsidTr="003A7020">
        <w:trPr>
          <w:trHeight w:val="292"/>
        </w:trPr>
        <w:tc>
          <w:tcPr>
            <w:tcW w:w="2295" w:type="dxa"/>
            <w:shd w:val="clear" w:color="auto" w:fill="auto"/>
            <w:noWrap/>
            <w:vAlign w:val="center"/>
          </w:tcPr>
          <w:p w14:paraId="126A03AB"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Izvor sredstava</w:t>
            </w:r>
          </w:p>
        </w:tc>
        <w:tc>
          <w:tcPr>
            <w:tcW w:w="7344" w:type="dxa"/>
            <w:gridSpan w:val="4"/>
            <w:shd w:val="clear" w:color="auto" w:fill="auto"/>
            <w:vAlign w:val="center"/>
          </w:tcPr>
          <w:p w14:paraId="081B79BC" w14:textId="77777777" w:rsidR="007721E9" w:rsidRPr="00DD7CE1" w:rsidRDefault="007721E9" w:rsidP="003A7020">
            <w:pPr>
              <w:spacing w:after="0" w:line="240" w:lineRule="auto"/>
              <w:rPr>
                <w:rFonts w:asciiTheme="majorHAnsi" w:eastAsia="Times New Roman" w:hAnsiTheme="majorHAnsi" w:cstheme="majorHAnsi"/>
                <w:bCs/>
                <w:iCs/>
                <w:szCs w:val="24"/>
                <w:lang w:val="hr-HR" w:eastAsia="hr-HR"/>
              </w:rPr>
            </w:pPr>
            <w:r w:rsidRPr="00DD7CE1">
              <w:rPr>
                <w:rFonts w:asciiTheme="majorHAnsi" w:eastAsia="Times New Roman" w:hAnsiTheme="majorHAnsi" w:cstheme="majorHAnsi"/>
                <w:bCs/>
                <w:iCs/>
                <w:szCs w:val="24"/>
                <w:lang w:val="hr-HR" w:eastAsia="hr-HR"/>
              </w:rPr>
              <w:t>Nije bilo planiranih i utrošenih sredstava</w:t>
            </w:r>
          </w:p>
          <w:p w14:paraId="2119E722" w14:textId="77777777" w:rsidR="007721E9" w:rsidRPr="00DD7CE1" w:rsidRDefault="007721E9" w:rsidP="003A7020">
            <w:pPr>
              <w:pStyle w:val="BodyText"/>
              <w:ind w:left="315"/>
              <w:rPr>
                <w:rFonts w:asciiTheme="majorHAnsi" w:eastAsia="Times New Roman" w:hAnsiTheme="majorHAnsi" w:cstheme="majorHAnsi"/>
                <w:lang w:val="hr-HR"/>
              </w:rPr>
            </w:pPr>
          </w:p>
        </w:tc>
      </w:tr>
      <w:tr w:rsidR="007721E9" w:rsidRPr="00454565" w14:paraId="6EBA8B7D" w14:textId="77777777" w:rsidTr="003A7020">
        <w:trPr>
          <w:trHeight w:val="292"/>
        </w:trPr>
        <w:tc>
          <w:tcPr>
            <w:tcW w:w="2295" w:type="dxa"/>
            <w:shd w:val="clear" w:color="auto" w:fill="auto"/>
            <w:noWrap/>
            <w:vAlign w:val="center"/>
          </w:tcPr>
          <w:p w14:paraId="0C50218D" w14:textId="77777777" w:rsidR="007721E9" w:rsidRPr="00DF7D9C" w:rsidRDefault="007721E9" w:rsidP="003A7020">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Rezultati provedbe</w:t>
            </w:r>
          </w:p>
        </w:tc>
        <w:tc>
          <w:tcPr>
            <w:tcW w:w="7344" w:type="dxa"/>
            <w:gridSpan w:val="4"/>
            <w:shd w:val="clear" w:color="auto" w:fill="auto"/>
            <w:vAlign w:val="center"/>
          </w:tcPr>
          <w:p w14:paraId="7923D54B" w14:textId="77777777" w:rsidR="007721E9" w:rsidRPr="00DD7CE1" w:rsidRDefault="007721E9" w:rsidP="003A7020">
            <w:pPr>
              <w:spacing w:after="0" w:line="240" w:lineRule="auto"/>
              <w:rPr>
                <w:rFonts w:asciiTheme="majorHAnsi" w:eastAsia="Times New Roman" w:hAnsiTheme="majorHAnsi" w:cstheme="majorHAnsi"/>
                <w:bCs/>
                <w:iCs/>
                <w:color w:val="AEAAAA" w:themeColor="background2" w:themeShade="BF"/>
                <w:szCs w:val="24"/>
                <w:lang w:val="hr-HR" w:eastAsia="hr-HR"/>
              </w:rPr>
            </w:pPr>
            <w:r>
              <w:rPr>
                <w:rFonts w:asciiTheme="majorHAnsi" w:eastAsia="Times New Roman" w:hAnsiTheme="majorHAnsi" w:cstheme="majorHAnsi"/>
                <w:lang w:val="hr-HR"/>
              </w:rPr>
              <w:t>Cilj je u potpunosti ispunjen.</w:t>
            </w:r>
          </w:p>
        </w:tc>
      </w:tr>
    </w:tbl>
    <w:p w14:paraId="05863453" w14:textId="77777777" w:rsidR="002D5A85" w:rsidRPr="002D5A85" w:rsidRDefault="002D5A85" w:rsidP="002D5A85">
      <w:pPr>
        <w:rPr>
          <w:lang w:val="hr-HR"/>
        </w:rPr>
      </w:pPr>
    </w:p>
    <w:p w14:paraId="0891F5A6" w14:textId="77777777" w:rsidR="00D20C38" w:rsidRPr="00DF7D9C" w:rsidRDefault="00D20C38" w:rsidP="008C1448">
      <w:pPr>
        <w:pStyle w:val="Heading2"/>
        <w:numPr>
          <w:ilvl w:val="1"/>
          <w:numId w:val="2"/>
        </w:numPr>
        <w:rPr>
          <w:color w:val="auto"/>
        </w:rPr>
      </w:pPr>
      <w:bookmarkStart w:id="23" w:name="_Toc89761124"/>
      <w:r w:rsidRPr="00DF7D9C">
        <w:rPr>
          <w:color w:val="auto"/>
        </w:rPr>
        <w:t>Strateški cilj br. 5: Postoji dovoljno operativnih mogućnosti na raspolaganju za djelotvorno i učinkovito korištenje NIPP-a</w:t>
      </w:r>
      <w:bookmarkEnd w:id="23"/>
    </w:p>
    <w:p w14:paraId="62899C32" w14:textId="77777777" w:rsidR="00963C39" w:rsidRDefault="00963C39" w:rsidP="00963C39">
      <w:pPr>
        <w:rPr>
          <w:lang w:val="hr-HR"/>
        </w:rPr>
      </w:pPr>
    </w:p>
    <w:tbl>
      <w:tblPr>
        <w:tblW w:w="963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95"/>
        <w:gridCol w:w="3672"/>
        <w:gridCol w:w="1116"/>
        <w:gridCol w:w="1276"/>
        <w:gridCol w:w="1280"/>
      </w:tblGrid>
      <w:tr w:rsidR="00747F7C" w:rsidRPr="00454565" w14:paraId="5732F933" w14:textId="77777777" w:rsidTr="007D4F15">
        <w:trPr>
          <w:trHeight w:val="1530"/>
        </w:trPr>
        <w:tc>
          <w:tcPr>
            <w:tcW w:w="2295" w:type="dxa"/>
            <w:shd w:val="clear" w:color="auto" w:fill="auto"/>
            <w:noWrap/>
            <w:vAlign w:val="center"/>
          </w:tcPr>
          <w:p w14:paraId="543A2186"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Planirani operativni ciljevi</w:t>
            </w:r>
          </w:p>
        </w:tc>
        <w:tc>
          <w:tcPr>
            <w:tcW w:w="7344" w:type="dxa"/>
            <w:gridSpan w:val="4"/>
            <w:shd w:val="clear" w:color="auto" w:fill="auto"/>
            <w:vAlign w:val="center"/>
          </w:tcPr>
          <w:p w14:paraId="5524F914" w14:textId="77777777" w:rsidR="00747F7C" w:rsidRPr="00DF7D9C" w:rsidRDefault="00747F7C" w:rsidP="008C1448">
            <w:pPr>
              <w:pStyle w:val="ListParagraph"/>
              <w:numPr>
                <w:ilvl w:val="0"/>
                <w:numId w:val="6"/>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Studijski programi fakulteta koji nude kolegij povezan s IPP-om</w:t>
            </w:r>
          </w:p>
          <w:p w14:paraId="06746796" w14:textId="77777777" w:rsidR="00747F7C" w:rsidRPr="00DF7D9C" w:rsidRDefault="00747F7C" w:rsidP="008C1448">
            <w:pPr>
              <w:pStyle w:val="ListParagraph"/>
              <w:numPr>
                <w:ilvl w:val="0"/>
                <w:numId w:val="6"/>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Stručna poduka o IPP-u</w:t>
            </w:r>
          </w:p>
          <w:p w14:paraId="3AB68783" w14:textId="77777777" w:rsidR="00747F7C" w:rsidRPr="00DF7D9C" w:rsidRDefault="00747F7C" w:rsidP="008C1448">
            <w:pPr>
              <w:pStyle w:val="ListParagraph"/>
              <w:numPr>
                <w:ilvl w:val="0"/>
                <w:numId w:val="6"/>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Radionice o upravljanju podacima</w:t>
            </w:r>
          </w:p>
          <w:p w14:paraId="077971E7" w14:textId="77777777" w:rsidR="00747F7C" w:rsidRPr="00DF7D9C" w:rsidRDefault="00747F7C" w:rsidP="008C1448">
            <w:pPr>
              <w:pStyle w:val="ListParagraph"/>
              <w:numPr>
                <w:ilvl w:val="0"/>
                <w:numId w:val="6"/>
              </w:numPr>
              <w:spacing w:after="0" w:line="240" w:lineRule="auto"/>
              <w:ind w:left="312"/>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Financijski kapaciteti</w:t>
            </w:r>
          </w:p>
          <w:p w14:paraId="59135F11" w14:textId="77777777" w:rsidR="00747F7C" w:rsidRPr="00DF7D9C" w:rsidRDefault="00747F7C" w:rsidP="008C1448">
            <w:pPr>
              <w:pStyle w:val="ListParagraph"/>
              <w:numPr>
                <w:ilvl w:val="0"/>
                <w:numId w:val="6"/>
              </w:numPr>
              <w:spacing w:after="0" w:line="240" w:lineRule="auto"/>
              <w:ind w:left="312"/>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Razvoj poslovnih modela ili sličnih dokumenata (strategije, programi i dr.)</w:t>
            </w:r>
          </w:p>
        </w:tc>
      </w:tr>
      <w:tr w:rsidR="00747F7C" w:rsidRPr="00454565" w14:paraId="56E6947A" w14:textId="77777777" w:rsidTr="007D4F15">
        <w:trPr>
          <w:trHeight w:val="292"/>
        </w:trPr>
        <w:tc>
          <w:tcPr>
            <w:tcW w:w="2295" w:type="dxa"/>
            <w:shd w:val="clear" w:color="auto" w:fill="auto"/>
            <w:noWrap/>
            <w:vAlign w:val="center"/>
          </w:tcPr>
          <w:p w14:paraId="598EF430"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Nadležna tijela</w:t>
            </w:r>
          </w:p>
        </w:tc>
        <w:tc>
          <w:tcPr>
            <w:tcW w:w="7344" w:type="dxa"/>
            <w:gridSpan w:val="4"/>
            <w:shd w:val="clear" w:color="auto" w:fill="auto"/>
            <w:vAlign w:val="center"/>
          </w:tcPr>
          <w:p w14:paraId="5C3ACD65"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DGU (NKT) u suradnji sa subjektima sukladno Prilogu II. Strategije</w:t>
            </w:r>
          </w:p>
        </w:tc>
      </w:tr>
      <w:tr w:rsidR="00747F7C" w:rsidRPr="00454565" w14:paraId="46737424" w14:textId="77777777" w:rsidTr="007D4F15">
        <w:trPr>
          <w:trHeight w:val="203"/>
        </w:trPr>
        <w:tc>
          <w:tcPr>
            <w:tcW w:w="2295" w:type="dxa"/>
            <w:vMerge w:val="restart"/>
            <w:shd w:val="clear" w:color="auto" w:fill="auto"/>
            <w:noWrap/>
            <w:vAlign w:val="center"/>
          </w:tcPr>
          <w:p w14:paraId="66DADEAA"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Pokazatelji</w:t>
            </w:r>
          </w:p>
        </w:tc>
        <w:tc>
          <w:tcPr>
            <w:tcW w:w="4788" w:type="dxa"/>
            <w:gridSpan w:val="2"/>
            <w:shd w:val="clear" w:color="auto" w:fill="auto"/>
            <w:vAlign w:val="center"/>
          </w:tcPr>
          <w:p w14:paraId="759D117F" w14:textId="77777777" w:rsidR="00747F7C" w:rsidRPr="00DF579E" w:rsidRDefault="00747F7C" w:rsidP="007D4F15">
            <w:pPr>
              <w:spacing w:after="0" w:line="240" w:lineRule="auto"/>
              <w:rPr>
                <w:rFonts w:asciiTheme="majorHAnsi" w:eastAsia="Times New Roman" w:hAnsiTheme="majorHAnsi" w:cstheme="majorHAnsi"/>
                <w:bCs/>
                <w:iCs/>
                <w:szCs w:val="24"/>
                <w:lang w:val="hr-HR" w:eastAsia="hr-HR"/>
              </w:rPr>
            </w:pPr>
          </w:p>
        </w:tc>
        <w:tc>
          <w:tcPr>
            <w:tcW w:w="1276" w:type="dxa"/>
            <w:shd w:val="clear" w:color="auto" w:fill="auto"/>
            <w:vAlign w:val="center"/>
          </w:tcPr>
          <w:p w14:paraId="25B52B00" w14:textId="77777777" w:rsidR="00747F7C" w:rsidRPr="00DF579E"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Planirano</w:t>
            </w:r>
          </w:p>
        </w:tc>
        <w:tc>
          <w:tcPr>
            <w:tcW w:w="1280" w:type="dxa"/>
            <w:shd w:val="clear" w:color="auto" w:fill="auto"/>
            <w:vAlign w:val="center"/>
          </w:tcPr>
          <w:p w14:paraId="323F6E33" w14:textId="77777777" w:rsidR="00747F7C" w:rsidRPr="00DF579E"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Ostvareno</w:t>
            </w:r>
          </w:p>
        </w:tc>
      </w:tr>
      <w:tr w:rsidR="00747F7C" w:rsidRPr="00454565" w14:paraId="7C64EF4E" w14:textId="77777777" w:rsidTr="007D4F15">
        <w:trPr>
          <w:trHeight w:val="202"/>
        </w:trPr>
        <w:tc>
          <w:tcPr>
            <w:tcW w:w="2295" w:type="dxa"/>
            <w:vMerge/>
            <w:shd w:val="clear" w:color="auto" w:fill="auto"/>
            <w:noWrap/>
            <w:vAlign w:val="center"/>
          </w:tcPr>
          <w:p w14:paraId="563B6C35"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p>
        </w:tc>
        <w:tc>
          <w:tcPr>
            <w:tcW w:w="4788" w:type="dxa"/>
            <w:gridSpan w:val="2"/>
            <w:shd w:val="clear" w:color="auto" w:fill="auto"/>
            <w:vAlign w:val="center"/>
          </w:tcPr>
          <w:p w14:paraId="40B31302" w14:textId="77777777" w:rsidR="00747F7C" w:rsidRPr="00536270" w:rsidRDefault="00747F7C" w:rsidP="007D4F15">
            <w:pPr>
              <w:spacing w:after="0" w:line="240" w:lineRule="auto"/>
              <w:rPr>
                <w:rFonts w:asciiTheme="majorHAnsi" w:eastAsia="Times New Roman" w:hAnsiTheme="majorHAnsi" w:cstheme="majorHAnsi"/>
                <w:bCs/>
                <w:iCs/>
                <w:szCs w:val="24"/>
                <w:lang w:val="hr-HR" w:eastAsia="hr-HR"/>
              </w:rPr>
            </w:pPr>
            <w:r w:rsidRPr="00536270">
              <w:rPr>
                <w:rFonts w:asciiTheme="majorHAnsi" w:eastAsia="Times New Roman" w:hAnsiTheme="majorHAnsi" w:cstheme="majorHAnsi"/>
                <w:bCs/>
                <w:iCs/>
                <w:szCs w:val="24"/>
                <w:lang w:val="hr-HR" w:eastAsia="hr-HR"/>
              </w:rPr>
              <w:t>Broj fakulteta koji nude kolegije o IPP-u</w:t>
            </w:r>
          </w:p>
        </w:tc>
        <w:tc>
          <w:tcPr>
            <w:tcW w:w="1276" w:type="dxa"/>
            <w:shd w:val="clear" w:color="auto" w:fill="auto"/>
            <w:vAlign w:val="center"/>
          </w:tcPr>
          <w:p w14:paraId="30ED00D4" w14:textId="77777777" w:rsidR="00747F7C" w:rsidRPr="00536270"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5</w:t>
            </w:r>
          </w:p>
        </w:tc>
        <w:tc>
          <w:tcPr>
            <w:tcW w:w="1280" w:type="dxa"/>
            <w:shd w:val="clear" w:color="auto" w:fill="auto"/>
            <w:vAlign w:val="center"/>
          </w:tcPr>
          <w:p w14:paraId="0F459B56" w14:textId="77777777" w:rsidR="00747F7C" w:rsidRPr="00536270"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4</w:t>
            </w:r>
          </w:p>
        </w:tc>
      </w:tr>
      <w:tr w:rsidR="00747F7C" w:rsidRPr="00454565" w14:paraId="3441D4C8" w14:textId="77777777" w:rsidTr="007D4F15">
        <w:trPr>
          <w:trHeight w:val="140"/>
        </w:trPr>
        <w:tc>
          <w:tcPr>
            <w:tcW w:w="2295" w:type="dxa"/>
            <w:vMerge/>
            <w:shd w:val="clear" w:color="auto" w:fill="auto"/>
            <w:noWrap/>
            <w:vAlign w:val="center"/>
          </w:tcPr>
          <w:p w14:paraId="473D84F6"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p>
        </w:tc>
        <w:tc>
          <w:tcPr>
            <w:tcW w:w="4788" w:type="dxa"/>
            <w:gridSpan w:val="2"/>
            <w:shd w:val="clear" w:color="auto" w:fill="auto"/>
            <w:vAlign w:val="center"/>
          </w:tcPr>
          <w:p w14:paraId="1E22B480" w14:textId="77777777" w:rsidR="00747F7C" w:rsidRPr="00DF579E" w:rsidRDefault="00747F7C"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Broj tečajeva stručne poduke</w:t>
            </w:r>
          </w:p>
        </w:tc>
        <w:tc>
          <w:tcPr>
            <w:tcW w:w="1276" w:type="dxa"/>
            <w:shd w:val="clear" w:color="auto" w:fill="auto"/>
            <w:vAlign w:val="center"/>
          </w:tcPr>
          <w:p w14:paraId="347351E4" w14:textId="77777777" w:rsidR="00747F7C" w:rsidRPr="00DF579E"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9</w:t>
            </w:r>
          </w:p>
        </w:tc>
        <w:tc>
          <w:tcPr>
            <w:tcW w:w="1280" w:type="dxa"/>
            <w:shd w:val="clear" w:color="auto" w:fill="auto"/>
            <w:vAlign w:val="center"/>
          </w:tcPr>
          <w:p w14:paraId="471964EE" w14:textId="77777777" w:rsidR="00747F7C" w:rsidRPr="00DF579E"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11</w:t>
            </w:r>
          </w:p>
        </w:tc>
      </w:tr>
      <w:tr w:rsidR="00747F7C" w:rsidRPr="00454565" w14:paraId="5FB977AF" w14:textId="77777777" w:rsidTr="007D4F15">
        <w:trPr>
          <w:trHeight w:val="271"/>
        </w:trPr>
        <w:tc>
          <w:tcPr>
            <w:tcW w:w="2295" w:type="dxa"/>
            <w:vMerge/>
            <w:shd w:val="clear" w:color="auto" w:fill="auto"/>
            <w:noWrap/>
            <w:vAlign w:val="center"/>
          </w:tcPr>
          <w:p w14:paraId="5C8CB9B9"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p>
        </w:tc>
        <w:tc>
          <w:tcPr>
            <w:tcW w:w="4788" w:type="dxa"/>
            <w:gridSpan w:val="2"/>
            <w:shd w:val="clear" w:color="auto" w:fill="auto"/>
            <w:vAlign w:val="center"/>
          </w:tcPr>
          <w:p w14:paraId="1DBDC979" w14:textId="77777777" w:rsidR="00747F7C" w:rsidRPr="00DF579E" w:rsidRDefault="00747F7C"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w:t>
            </w:r>
            <w:r w:rsidRPr="00DF7D9C">
              <w:rPr>
                <w:rFonts w:asciiTheme="majorHAnsi" w:eastAsia="Times New Roman" w:hAnsiTheme="majorHAnsi" w:cstheme="majorHAnsi"/>
                <w:bCs/>
                <w:iCs/>
                <w:szCs w:val="24"/>
                <w:lang w:val="hr-HR" w:eastAsia="hr-HR"/>
              </w:rPr>
              <w:t>odneseni zahtjev</w:t>
            </w:r>
            <w:r>
              <w:rPr>
                <w:rFonts w:asciiTheme="majorHAnsi" w:eastAsia="Times New Roman" w:hAnsiTheme="majorHAnsi" w:cstheme="majorHAnsi"/>
                <w:bCs/>
                <w:iCs/>
                <w:szCs w:val="24"/>
                <w:lang w:val="hr-HR" w:eastAsia="hr-HR"/>
              </w:rPr>
              <w:t>i</w:t>
            </w:r>
            <w:r w:rsidRPr="00DF7D9C">
              <w:rPr>
                <w:rFonts w:asciiTheme="majorHAnsi" w:eastAsia="Times New Roman" w:hAnsiTheme="majorHAnsi" w:cstheme="majorHAnsi"/>
                <w:bCs/>
                <w:iCs/>
                <w:szCs w:val="24"/>
                <w:lang w:val="hr-HR" w:eastAsia="hr-HR"/>
              </w:rPr>
              <w:t xml:space="preserve"> za strukturne fondove EU</w:t>
            </w:r>
          </w:p>
        </w:tc>
        <w:tc>
          <w:tcPr>
            <w:tcW w:w="1276" w:type="dxa"/>
            <w:shd w:val="clear" w:color="auto" w:fill="auto"/>
            <w:vAlign w:val="center"/>
          </w:tcPr>
          <w:p w14:paraId="14E6E394" w14:textId="77777777" w:rsidR="00747F7C" w:rsidRPr="00DF579E"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10</w:t>
            </w:r>
          </w:p>
        </w:tc>
        <w:tc>
          <w:tcPr>
            <w:tcW w:w="1280" w:type="dxa"/>
            <w:shd w:val="clear" w:color="auto" w:fill="auto"/>
            <w:vAlign w:val="center"/>
          </w:tcPr>
          <w:p w14:paraId="78B55637" w14:textId="77777777" w:rsidR="00747F7C" w:rsidRPr="00DF579E"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9</w:t>
            </w:r>
          </w:p>
        </w:tc>
      </w:tr>
      <w:tr w:rsidR="00747F7C" w:rsidRPr="00454565" w14:paraId="21CA927A" w14:textId="77777777" w:rsidTr="007D4F15">
        <w:trPr>
          <w:trHeight w:val="402"/>
        </w:trPr>
        <w:tc>
          <w:tcPr>
            <w:tcW w:w="2295" w:type="dxa"/>
            <w:vMerge/>
            <w:shd w:val="clear" w:color="auto" w:fill="auto"/>
            <w:noWrap/>
            <w:vAlign w:val="center"/>
          </w:tcPr>
          <w:p w14:paraId="69317094"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p>
        </w:tc>
        <w:tc>
          <w:tcPr>
            <w:tcW w:w="4788" w:type="dxa"/>
            <w:gridSpan w:val="2"/>
            <w:shd w:val="clear" w:color="auto" w:fill="auto"/>
            <w:vAlign w:val="center"/>
          </w:tcPr>
          <w:p w14:paraId="28B8CF35" w14:textId="3538DEBC" w:rsidR="00747F7C" w:rsidRPr="00DF579E" w:rsidRDefault="00747F7C" w:rsidP="007D4F15">
            <w:pPr>
              <w:spacing w:after="0" w:line="240" w:lineRule="auto"/>
              <w:rPr>
                <w:rFonts w:asciiTheme="majorHAnsi" w:eastAsia="Times New Roman" w:hAnsiTheme="majorHAnsi" w:cstheme="majorHAnsi"/>
                <w:bCs/>
                <w:iCs/>
                <w:szCs w:val="24"/>
                <w:lang w:val="hr-HR" w:eastAsia="hr-HR"/>
              </w:rPr>
            </w:pPr>
            <w:r w:rsidRPr="0042018F">
              <w:rPr>
                <w:rFonts w:asciiTheme="majorHAnsi" w:eastAsia="Times New Roman" w:hAnsiTheme="majorHAnsi" w:cstheme="majorHAnsi"/>
                <w:bCs/>
                <w:iCs/>
                <w:szCs w:val="24"/>
                <w:lang w:val="hr-HR" w:eastAsia="hr-HR"/>
              </w:rPr>
              <w:t>Osigurana sredstva</w:t>
            </w:r>
            <w:r w:rsidR="00634E19">
              <w:rPr>
                <w:rFonts w:asciiTheme="majorHAnsi" w:eastAsia="Times New Roman" w:hAnsiTheme="majorHAnsi" w:cstheme="majorHAnsi"/>
                <w:bCs/>
                <w:iCs/>
                <w:szCs w:val="24"/>
                <w:lang w:val="hr-HR" w:eastAsia="hr-HR"/>
              </w:rPr>
              <w:t xml:space="preserve"> za G</w:t>
            </w:r>
            <w:r w:rsidRPr="0042018F">
              <w:rPr>
                <w:rFonts w:asciiTheme="majorHAnsi" w:eastAsia="Times New Roman" w:hAnsiTheme="majorHAnsi" w:cstheme="majorHAnsi"/>
                <w:bCs/>
                <w:iCs/>
                <w:szCs w:val="24"/>
                <w:lang w:val="hr-HR" w:eastAsia="hr-HR"/>
              </w:rPr>
              <w:t>eoportal, rad NKT-a i edukaciju subjekata NIPP-a</w:t>
            </w:r>
          </w:p>
        </w:tc>
        <w:tc>
          <w:tcPr>
            <w:tcW w:w="1276" w:type="dxa"/>
            <w:shd w:val="clear" w:color="auto" w:fill="auto"/>
            <w:vAlign w:val="center"/>
          </w:tcPr>
          <w:p w14:paraId="54F1FE3E" w14:textId="77777777" w:rsidR="00747F7C" w:rsidRPr="00F06F72" w:rsidRDefault="009A3BE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12</w:t>
            </w:r>
            <w:r w:rsidR="00747F7C" w:rsidRPr="00F06F72">
              <w:rPr>
                <w:rFonts w:asciiTheme="majorHAnsi" w:eastAsia="Times New Roman" w:hAnsiTheme="majorHAnsi" w:cstheme="majorHAnsi"/>
                <w:bCs/>
                <w:iCs/>
                <w:szCs w:val="24"/>
                <w:lang w:val="hr-HR" w:eastAsia="hr-HR"/>
              </w:rPr>
              <w:t>.000.000 HRK</w:t>
            </w:r>
          </w:p>
        </w:tc>
        <w:tc>
          <w:tcPr>
            <w:tcW w:w="1280" w:type="dxa"/>
            <w:shd w:val="clear" w:color="auto" w:fill="auto"/>
            <w:vAlign w:val="center"/>
          </w:tcPr>
          <w:p w14:paraId="62B37021" w14:textId="77777777" w:rsidR="00747F7C"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10.373.572</w:t>
            </w:r>
          </w:p>
          <w:p w14:paraId="18E19980" w14:textId="77777777" w:rsidR="00747F7C" w:rsidRPr="00DF579E"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HRK</w:t>
            </w:r>
          </w:p>
        </w:tc>
      </w:tr>
      <w:tr w:rsidR="00747F7C" w:rsidRPr="00454565" w14:paraId="77B19D1C" w14:textId="77777777" w:rsidTr="007D4F15">
        <w:trPr>
          <w:trHeight w:val="203"/>
        </w:trPr>
        <w:tc>
          <w:tcPr>
            <w:tcW w:w="2295" w:type="dxa"/>
            <w:vMerge/>
            <w:shd w:val="clear" w:color="auto" w:fill="auto"/>
            <w:noWrap/>
            <w:vAlign w:val="center"/>
          </w:tcPr>
          <w:p w14:paraId="73621707"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p>
        </w:tc>
        <w:tc>
          <w:tcPr>
            <w:tcW w:w="4788" w:type="dxa"/>
            <w:gridSpan w:val="2"/>
            <w:shd w:val="clear" w:color="auto" w:fill="auto"/>
            <w:vAlign w:val="center"/>
          </w:tcPr>
          <w:p w14:paraId="151A570A" w14:textId="77777777" w:rsidR="00747F7C" w:rsidRPr="00DF579E" w:rsidRDefault="00747F7C" w:rsidP="007D4F15">
            <w:pPr>
              <w:spacing w:after="0" w:line="240" w:lineRule="auto"/>
              <w:rPr>
                <w:rFonts w:asciiTheme="majorHAnsi" w:eastAsia="Times New Roman" w:hAnsiTheme="majorHAnsi" w:cstheme="majorHAnsi"/>
                <w:bCs/>
                <w:iCs/>
                <w:szCs w:val="24"/>
                <w:lang w:val="hr-HR" w:eastAsia="hr-HR"/>
              </w:rPr>
            </w:pPr>
            <w:r w:rsidRPr="0042018F">
              <w:rPr>
                <w:rFonts w:asciiTheme="majorHAnsi" w:eastAsia="Times New Roman" w:hAnsiTheme="majorHAnsi" w:cstheme="majorHAnsi"/>
                <w:bCs/>
                <w:iCs/>
                <w:szCs w:val="24"/>
                <w:lang w:val="hr-HR" w:eastAsia="hr-HR"/>
              </w:rPr>
              <w:t>Sredstva koja su subjekti osigurali za ulaganja u NIPP</w:t>
            </w:r>
          </w:p>
        </w:tc>
        <w:tc>
          <w:tcPr>
            <w:tcW w:w="1276" w:type="dxa"/>
            <w:shd w:val="clear" w:color="auto" w:fill="auto"/>
            <w:vAlign w:val="center"/>
          </w:tcPr>
          <w:p w14:paraId="2E89D8E6" w14:textId="77777777" w:rsidR="00747F7C" w:rsidRPr="00F06F72" w:rsidRDefault="009A3BE0"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20</w:t>
            </w:r>
            <w:r w:rsidR="00747F7C" w:rsidRPr="00F06F72">
              <w:rPr>
                <w:rFonts w:asciiTheme="majorHAnsi" w:eastAsia="Times New Roman" w:hAnsiTheme="majorHAnsi" w:cstheme="majorHAnsi"/>
                <w:bCs/>
                <w:iCs/>
                <w:szCs w:val="24"/>
                <w:lang w:val="hr-HR" w:eastAsia="hr-HR"/>
              </w:rPr>
              <w:t>.000.000 HRK</w:t>
            </w:r>
          </w:p>
        </w:tc>
        <w:tc>
          <w:tcPr>
            <w:tcW w:w="1280" w:type="dxa"/>
            <w:shd w:val="clear" w:color="auto" w:fill="auto"/>
            <w:vAlign w:val="center"/>
          </w:tcPr>
          <w:p w14:paraId="7952C738" w14:textId="77777777" w:rsidR="00747F7C" w:rsidRPr="00DF579E"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32.669.420 HRK</w:t>
            </w:r>
          </w:p>
        </w:tc>
      </w:tr>
      <w:tr w:rsidR="00747F7C" w:rsidRPr="00454565" w14:paraId="6CDD9017" w14:textId="77777777" w:rsidTr="007D4F15">
        <w:trPr>
          <w:trHeight w:val="202"/>
        </w:trPr>
        <w:tc>
          <w:tcPr>
            <w:tcW w:w="2295" w:type="dxa"/>
            <w:vMerge/>
            <w:shd w:val="clear" w:color="auto" w:fill="auto"/>
            <w:noWrap/>
            <w:vAlign w:val="center"/>
          </w:tcPr>
          <w:p w14:paraId="73E53F6B"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p>
        </w:tc>
        <w:tc>
          <w:tcPr>
            <w:tcW w:w="4788" w:type="dxa"/>
            <w:gridSpan w:val="2"/>
            <w:shd w:val="clear" w:color="auto" w:fill="auto"/>
            <w:vAlign w:val="center"/>
          </w:tcPr>
          <w:p w14:paraId="3CBEDCA4" w14:textId="77777777" w:rsidR="00747F7C" w:rsidRPr="0042018F" w:rsidRDefault="00747F7C"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Broj institucija s poslovnim modelima ili sličnim dokumentima</w:t>
            </w:r>
          </w:p>
        </w:tc>
        <w:tc>
          <w:tcPr>
            <w:tcW w:w="1276" w:type="dxa"/>
            <w:shd w:val="clear" w:color="auto" w:fill="auto"/>
            <w:vAlign w:val="center"/>
          </w:tcPr>
          <w:p w14:paraId="0123414B" w14:textId="77777777" w:rsidR="00747F7C" w:rsidRPr="0042018F"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15</w:t>
            </w:r>
          </w:p>
        </w:tc>
        <w:tc>
          <w:tcPr>
            <w:tcW w:w="1280" w:type="dxa"/>
            <w:shd w:val="clear" w:color="auto" w:fill="auto"/>
            <w:vAlign w:val="center"/>
          </w:tcPr>
          <w:p w14:paraId="408C9930" w14:textId="77777777" w:rsidR="00747F7C" w:rsidRPr="0042018F" w:rsidRDefault="00747F7C" w:rsidP="007D4F15">
            <w:pPr>
              <w:spacing w:after="0" w:line="240" w:lineRule="auto"/>
              <w:jc w:val="center"/>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0</w:t>
            </w:r>
          </w:p>
        </w:tc>
      </w:tr>
      <w:tr w:rsidR="00747F7C" w:rsidRPr="00454565" w14:paraId="12187C73" w14:textId="77777777" w:rsidTr="007D4F15">
        <w:trPr>
          <w:trHeight w:val="1648"/>
        </w:trPr>
        <w:tc>
          <w:tcPr>
            <w:tcW w:w="2295" w:type="dxa"/>
            <w:shd w:val="clear" w:color="auto" w:fill="auto"/>
            <w:noWrap/>
            <w:vAlign w:val="center"/>
          </w:tcPr>
          <w:p w14:paraId="0AEDBCDE"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Provedene aktivnosti</w:t>
            </w:r>
          </w:p>
        </w:tc>
        <w:tc>
          <w:tcPr>
            <w:tcW w:w="7344" w:type="dxa"/>
            <w:gridSpan w:val="4"/>
            <w:shd w:val="clear" w:color="auto" w:fill="auto"/>
            <w:vAlign w:val="center"/>
          </w:tcPr>
          <w:p w14:paraId="0ABEB80B" w14:textId="38CD6DEC" w:rsidR="003059A0" w:rsidRDefault="00747F7C" w:rsidP="00233277">
            <w:pPr>
              <w:spacing w:after="0" w:line="240" w:lineRule="auto"/>
              <w:jc w:val="both"/>
              <w:rPr>
                <w:rFonts w:asciiTheme="majorHAnsi" w:eastAsia="Times New Roman" w:hAnsiTheme="majorHAnsi" w:cstheme="majorHAnsi"/>
                <w:bCs/>
                <w:iCs/>
                <w:szCs w:val="24"/>
                <w:lang w:val="hr-HR" w:eastAsia="hr-HR"/>
              </w:rPr>
            </w:pPr>
            <w:r w:rsidRPr="008E2CEF">
              <w:rPr>
                <w:rFonts w:asciiTheme="majorHAnsi" w:eastAsia="Times New Roman" w:hAnsiTheme="majorHAnsi" w:cstheme="majorHAnsi"/>
                <w:bCs/>
                <w:iCs/>
                <w:szCs w:val="24"/>
                <w:lang w:val="hr-HR" w:eastAsia="hr-HR"/>
              </w:rPr>
              <w:t>Broj studijskih programa koji uključuju kolegije koji se bave infrastrukturam</w:t>
            </w:r>
            <w:r>
              <w:rPr>
                <w:rFonts w:asciiTheme="majorHAnsi" w:eastAsia="Times New Roman" w:hAnsiTheme="majorHAnsi" w:cstheme="majorHAnsi"/>
                <w:bCs/>
                <w:iCs/>
                <w:szCs w:val="24"/>
                <w:lang w:val="hr-HR" w:eastAsia="hr-HR"/>
              </w:rPr>
              <w:t>a prostornih podataka je četiri,</w:t>
            </w:r>
            <w:r w:rsidRPr="008E2CEF">
              <w:rPr>
                <w:rFonts w:asciiTheme="majorHAnsi" w:eastAsia="Times New Roman" w:hAnsiTheme="majorHAnsi" w:cstheme="majorHAnsi"/>
                <w:bCs/>
                <w:iCs/>
                <w:szCs w:val="24"/>
                <w:lang w:val="hr-HR" w:eastAsia="hr-HR"/>
              </w:rPr>
              <w:t xml:space="preserve"> </w:t>
            </w:r>
            <w:r>
              <w:rPr>
                <w:rFonts w:asciiTheme="majorHAnsi" w:eastAsia="Times New Roman" w:hAnsiTheme="majorHAnsi" w:cstheme="majorHAnsi"/>
                <w:bCs/>
                <w:iCs/>
                <w:szCs w:val="24"/>
                <w:lang w:val="hr-HR" w:eastAsia="hr-HR"/>
              </w:rPr>
              <w:t>r</w:t>
            </w:r>
            <w:r w:rsidRPr="008E2CEF">
              <w:rPr>
                <w:rFonts w:asciiTheme="majorHAnsi" w:eastAsia="Times New Roman" w:hAnsiTheme="majorHAnsi" w:cstheme="majorHAnsi"/>
                <w:bCs/>
                <w:iCs/>
                <w:szCs w:val="24"/>
                <w:lang w:val="hr-HR" w:eastAsia="hr-HR"/>
              </w:rPr>
              <w:t xml:space="preserve">iječ je o </w:t>
            </w:r>
            <w:r w:rsidRPr="00DF20D9">
              <w:rPr>
                <w:rFonts w:asciiTheme="majorHAnsi" w:eastAsia="Times New Roman" w:hAnsiTheme="majorHAnsi" w:cstheme="majorHAnsi"/>
                <w:bCs/>
                <w:iCs/>
                <w:szCs w:val="24"/>
                <w:lang w:val="hr-HR" w:eastAsia="hr-HR"/>
              </w:rPr>
              <w:t>Preddiplomsk</w:t>
            </w:r>
            <w:r>
              <w:rPr>
                <w:rFonts w:asciiTheme="majorHAnsi" w:eastAsia="Times New Roman" w:hAnsiTheme="majorHAnsi" w:cstheme="majorHAnsi"/>
                <w:bCs/>
                <w:iCs/>
                <w:szCs w:val="24"/>
                <w:lang w:val="hr-HR" w:eastAsia="hr-HR"/>
              </w:rPr>
              <w:t xml:space="preserve">om </w:t>
            </w:r>
            <w:r w:rsidRPr="00DF20D9">
              <w:rPr>
                <w:rFonts w:asciiTheme="majorHAnsi" w:eastAsia="Times New Roman" w:hAnsiTheme="majorHAnsi" w:cstheme="majorHAnsi"/>
                <w:bCs/>
                <w:iCs/>
                <w:szCs w:val="24"/>
                <w:lang w:val="hr-HR" w:eastAsia="hr-HR"/>
              </w:rPr>
              <w:t>sveučilišn</w:t>
            </w:r>
            <w:r>
              <w:rPr>
                <w:rFonts w:asciiTheme="majorHAnsi" w:eastAsia="Times New Roman" w:hAnsiTheme="majorHAnsi" w:cstheme="majorHAnsi"/>
                <w:bCs/>
                <w:iCs/>
                <w:szCs w:val="24"/>
                <w:lang w:val="hr-HR" w:eastAsia="hr-HR"/>
              </w:rPr>
              <w:t>om</w:t>
            </w:r>
            <w:r w:rsidRPr="00DF20D9">
              <w:rPr>
                <w:rFonts w:asciiTheme="majorHAnsi" w:eastAsia="Times New Roman" w:hAnsiTheme="majorHAnsi" w:cstheme="majorHAnsi"/>
                <w:bCs/>
                <w:iCs/>
                <w:szCs w:val="24"/>
                <w:lang w:val="hr-HR" w:eastAsia="hr-HR"/>
              </w:rPr>
              <w:t xml:space="preserve"> studij</w:t>
            </w:r>
            <w:r>
              <w:rPr>
                <w:rFonts w:asciiTheme="majorHAnsi" w:eastAsia="Times New Roman" w:hAnsiTheme="majorHAnsi" w:cstheme="majorHAnsi"/>
                <w:bCs/>
                <w:iCs/>
                <w:szCs w:val="24"/>
                <w:lang w:val="hr-HR" w:eastAsia="hr-HR"/>
              </w:rPr>
              <w:t>u</w:t>
            </w:r>
            <w:r w:rsidRPr="00DF20D9">
              <w:rPr>
                <w:rFonts w:asciiTheme="majorHAnsi" w:eastAsia="Times New Roman" w:hAnsiTheme="majorHAnsi" w:cstheme="majorHAnsi"/>
                <w:bCs/>
                <w:iCs/>
                <w:szCs w:val="24"/>
                <w:lang w:val="hr-HR" w:eastAsia="hr-HR"/>
              </w:rPr>
              <w:t xml:space="preserve"> Geodezij</w:t>
            </w:r>
            <w:r>
              <w:rPr>
                <w:rFonts w:asciiTheme="majorHAnsi" w:eastAsia="Times New Roman" w:hAnsiTheme="majorHAnsi" w:cstheme="majorHAnsi"/>
                <w:bCs/>
                <w:iCs/>
                <w:szCs w:val="24"/>
                <w:lang w:val="hr-HR" w:eastAsia="hr-HR"/>
              </w:rPr>
              <w:t xml:space="preserve">e i </w:t>
            </w:r>
            <w:proofErr w:type="spellStart"/>
            <w:r>
              <w:rPr>
                <w:rFonts w:asciiTheme="majorHAnsi" w:eastAsia="Times New Roman" w:hAnsiTheme="majorHAnsi" w:cstheme="majorHAnsi"/>
                <w:bCs/>
                <w:iCs/>
                <w:szCs w:val="24"/>
                <w:lang w:val="hr-HR" w:eastAsia="hr-HR"/>
              </w:rPr>
              <w:t>geoinformatike</w:t>
            </w:r>
            <w:proofErr w:type="spellEnd"/>
            <w:r>
              <w:rPr>
                <w:rFonts w:asciiTheme="majorHAnsi" w:eastAsia="Times New Roman" w:hAnsiTheme="majorHAnsi" w:cstheme="majorHAnsi"/>
                <w:bCs/>
                <w:iCs/>
                <w:szCs w:val="24"/>
                <w:lang w:val="hr-HR" w:eastAsia="hr-HR"/>
              </w:rPr>
              <w:t xml:space="preserve">, </w:t>
            </w:r>
            <w:r w:rsidRPr="00DF20D9">
              <w:rPr>
                <w:rFonts w:asciiTheme="majorHAnsi" w:eastAsia="Times New Roman" w:hAnsiTheme="majorHAnsi" w:cstheme="majorHAnsi"/>
                <w:bCs/>
                <w:iCs/>
                <w:szCs w:val="24"/>
                <w:lang w:val="hr-HR" w:eastAsia="hr-HR"/>
              </w:rPr>
              <w:t>Diplomsk</w:t>
            </w:r>
            <w:r>
              <w:rPr>
                <w:rFonts w:asciiTheme="majorHAnsi" w:eastAsia="Times New Roman" w:hAnsiTheme="majorHAnsi" w:cstheme="majorHAnsi"/>
                <w:bCs/>
                <w:iCs/>
                <w:szCs w:val="24"/>
                <w:lang w:val="hr-HR" w:eastAsia="hr-HR"/>
              </w:rPr>
              <w:t>om</w:t>
            </w:r>
            <w:r w:rsidRPr="00DF20D9">
              <w:rPr>
                <w:rFonts w:asciiTheme="majorHAnsi" w:eastAsia="Times New Roman" w:hAnsiTheme="majorHAnsi" w:cstheme="majorHAnsi"/>
                <w:bCs/>
                <w:iCs/>
                <w:szCs w:val="24"/>
                <w:lang w:val="hr-HR" w:eastAsia="hr-HR"/>
              </w:rPr>
              <w:t xml:space="preserve"> sveučilišn</w:t>
            </w:r>
            <w:r>
              <w:rPr>
                <w:rFonts w:asciiTheme="majorHAnsi" w:eastAsia="Times New Roman" w:hAnsiTheme="majorHAnsi" w:cstheme="majorHAnsi"/>
                <w:bCs/>
                <w:iCs/>
                <w:szCs w:val="24"/>
                <w:lang w:val="hr-HR" w:eastAsia="hr-HR"/>
              </w:rPr>
              <w:t>om</w:t>
            </w:r>
            <w:r w:rsidRPr="00DF20D9">
              <w:rPr>
                <w:rFonts w:asciiTheme="majorHAnsi" w:eastAsia="Times New Roman" w:hAnsiTheme="majorHAnsi" w:cstheme="majorHAnsi"/>
                <w:bCs/>
                <w:iCs/>
                <w:szCs w:val="24"/>
                <w:lang w:val="hr-HR" w:eastAsia="hr-HR"/>
              </w:rPr>
              <w:t xml:space="preserve"> studij</w:t>
            </w:r>
            <w:r>
              <w:rPr>
                <w:rFonts w:asciiTheme="majorHAnsi" w:eastAsia="Times New Roman" w:hAnsiTheme="majorHAnsi" w:cstheme="majorHAnsi"/>
                <w:bCs/>
                <w:iCs/>
                <w:szCs w:val="24"/>
                <w:lang w:val="hr-HR" w:eastAsia="hr-HR"/>
              </w:rPr>
              <w:t>u</w:t>
            </w:r>
            <w:r w:rsidRPr="00DF20D9">
              <w:rPr>
                <w:rFonts w:asciiTheme="majorHAnsi" w:eastAsia="Times New Roman" w:hAnsiTheme="majorHAnsi" w:cstheme="majorHAnsi"/>
                <w:bCs/>
                <w:iCs/>
                <w:szCs w:val="24"/>
                <w:lang w:val="hr-HR" w:eastAsia="hr-HR"/>
              </w:rPr>
              <w:t xml:space="preserve"> Geodezij</w:t>
            </w:r>
            <w:r>
              <w:rPr>
                <w:rFonts w:asciiTheme="majorHAnsi" w:eastAsia="Times New Roman" w:hAnsiTheme="majorHAnsi" w:cstheme="majorHAnsi"/>
                <w:bCs/>
                <w:iCs/>
                <w:szCs w:val="24"/>
                <w:lang w:val="hr-HR" w:eastAsia="hr-HR"/>
              </w:rPr>
              <w:t xml:space="preserve">e i </w:t>
            </w:r>
            <w:proofErr w:type="spellStart"/>
            <w:r>
              <w:rPr>
                <w:rFonts w:asciiTheme="majorHAnsi" w:eastAsia="Times New Roman" w:hAnsiTheme="majorHAnsi" w:cstheme="majorHAnsi"/>
                <w:bCs/>
                <w:iCs/>
                <w:szCs w:val="24"/>
                <w:lang w:val="hr-HR" w:eastAsia="hr-HR"/>
              </w:rPr>
              <w:t>geoinformatike</w:t>
            </w:r>
            <w:proofErr w:type="spellEnd"/>
            <w:r>
              <w:rPr>
                <w:rFonts w:asciiTheme="majorHAnsi" w:eastAsia="Times New Roman" w:hAnsiTheme="majorHAnsi" w:cstheme="majorHAnsi"/>
                <w:bCs/>
                <w:iCs/>
                <w:szCs w:val="24"/>
                <w:lang w:val="hr-HR" w:eastAsia="hr-HR"/>
              </w:rPr>
              <w:t xml:space="preserve"> koji se izvode na Geodetskom fakultetu Sveučilišta u Zagrebu, Preddiplomskom</w:t>
            </w:r>
            <w:r w:rsidRPr="00DF20D9">
              <w:rPr>
                <w:rFonts w:asciiTheme="majorHAnsi" w:eastAsia="Times New Roman" w:hAnsiTheme="majorHAnsi" w:cstheme="majorHAnsi"/>
                <w:bCs/>
                <w:iCs/>
                <w:szCs w:val="24"/>
                <w:lang w:val="hr-HR" w:eastAsia="hr-HR"/>
              </w:rPr>
              <w:t xml:space="preserve"> sveučilišn</w:t>
            </w:r>
            <w:r>
              <w:rPr>
                <w:rFonts w:asciiTheme="majorHAnsi" w:eastAsia="Times New Roman" w:hAnsiTheme="majorHAnsi" w:cstheme="majorHAnsi"/>
                <w:bCs/>
                <w:iCs/>
                <w:szCs w:val="24"/>
                <w:lang w:val="hr-HR" w:eastAsia="hr-HR"/>
              </w:rPr>
              <w:t>om</w:t>
            </w:r>
            <w:r w:rsidRPr="00DF20D9">
              <w:rPr>
                <w:rFonts w:asciiTheme="majorHAnsi" w:eastAsia="Times New Roman" w:hAnsiTheme="majorHAnsi" w:cstheme="majorHAnsi"/>
                <w:bCs/>
                <w:iCs/>
                <w:szCs w:val="24"/>
                <w:lang w:val="hr-HR" w:eastAsia="hr-HR"/>
              </w:rPr>
              <w:t xml:space="preserve"> studij</w:t>
            </w:r>
            <w:r>
              <w:rPr>
                <w:rFonts w:asciiTheme="majorHAnsi" w:eastAsia="Times New Roman" w:hAnsiTheme="majorHAnsi" w:cstheme="majorHAnsi"/>
                <w:bCs/>
                <w:iCs/>
                <w:szCs w:val="24"/>
                <w:lang w:val="hr-HR" w:eastAsia="hr-HR"/>
              </w:rPr>
              <w:t>u</w:t>
            </w:r>
            <w:r w:rsidRPr="00DF20D9">
              <w:rPr>
                <w:rFonts w:asciiTheme="majorHAnsi" w:eastAsia="Times New Roman" w:hAnsiTheme="majorHAnsi" w:cstheme="majorHAnsi"/>
                <w:bCs/>
                <w:iCs/>
                <w:szCs w:val="24"/>
                <w:lang w:val="hr-HR" w:eastAsia="hr-HR"/>
              </w:rPr>
              <w:t xml:space="preserve"> Geodezij</w:t>
            </w:r>
            <w:r>
              <w:rPr>
                <w:rFonts w:asciiTheme="majorHAnsi" w:eastAsia="Times New Roman" w:hAnsiTheme="majorHAnsi" w:cstheme="majorHAnsi"/>
                <w:bCs/>
                <w:iCs/>
                <w:szCs w:val="24"/>
                <w:lang w:val="hr-HR" w:eastAsia="hr-HR"/>
              </w:rPr>
              <w:t>e</w:t>
            </w:r>
            <w:r w:rsidRPr="00DF20D9">
              <w:rPr>
                <w:rFonts w:asciiTheme="majorHAnsi" w:eastAsia="Times New Roman" w:hAnsiTheme="majorHAnsi" w:cstheme="majorHAnsi"/>
                <w:bCs/>
                <w:iCs/>
                <w:szCs w:val="24"/>
                <w:lang w:val="hr-HR" w:eastAsia="hr-HR"/>
              </w:rPr>
              <w:t xml:space="preserve"> i </w:t>
            </w:r>
            <w:proofErr w:type="spellStart"/>
            <w:r w:rsidRPr="00DF20D9">
              <w:rPr>
                <w:rFonts w:asciiTheme="majorHAnsi" w:eastAsia="Times New Roman" w:hAnsiTheme="majorHAnsi" w:cstheme="majorHAnsi"/>
                <w:bCs/>
                <w:iCs/>
                <w:szCs w:val="24"/>
                <w:lang w:val="hr-HR" w:eastAsia="hr-HR"/>
              </w:rPr>
              <w:t>geoinformatik</w:t>
            </w:r>
            <w:r>
              <w:rPr>
                <w:rFonts w:asciiTheme="majorHAnsi" w:eastAsia="Times New Roman" w:hAnsiTheme="majorHAnsi" w:cstheme="majorHAnsi"/>
                <w:bCs/>
                <w:iCs/>
                <w:szCs w:val="24"/>
                <w:lang w:val="hr-HR" w:eastAsia="hr-HR"/>
              </w:rPr>
              <w:t>e</w:t>
            </w:r>
            <w:proofErr w:type="spellEnd"/>
            <w:r>
              <w:rPr>
                <w:rFonts w:asciiTheme="majorHAnsi" w:eastAsia="Times New Roman" w:hAnsiTheme="majorHAnsi" w:cstheme="majorHAnsi"/>
                <w:bCs/>
                <w:iCs/>
                <w:szCs w:val="24"/>
                <w:lang w:val="hr-HR" w:eastAsia="hr-HR"/>
              </w:rPr>
              <w:t xml:space="preserve"> koji se</w:t>
            </w:r>
            <w:r w:rsidRPr="00DF20D9">
              <w:rPr>
                <w:rFonts w:asciiTheme="majorHAnsi" w:eastAsia="Times New Roman" w:hAnsiTheme="majorHAnsi" w:cstheme="majorHAnsi"/>
                <w:bCs/>
                <w:iCs/>
                <w:szCs w:val="24"/>
                <w:lang w:val="hr-HR" w:eastAsia="hr-HR"/>
              </w:rPr>
              <w:t xml:space="preserve"> izvodi na Fakultetu građevinarstva, ar</w:t>
            </w:r>
            <w:r>
              <w:rPr>
                <w:rFonts w:asciiTheme="majorHAnsi" w:eastAsia="Times New Roman" w:hAnsiTheme="majorHAnsi" w:cstheme="majorHAnsi"/>
                <w:bCs/>
                <w:iCs/>
                <w:szCs w:val="24"/>
                <w:lang w:val="hr-HR" w:eastAsia="hr-HR"/>
              </w:rPr>
              <w:t xml:space="preserve">hitekture i geodezije Sveučilišta u Splitu te </w:t>
            </w:r>
            <w:r w:rsidRPr="00393C95">
              <w:rPr>
                <w:rFonts w:asciiTheme="majorHAnsi" w:eastAsia="Times New Roman" w:hAnsiTheme="majorHAnsi" w:cstheme="majorHAnsi"/>
                <w:bCs/>
                <w:iCs/>
                <w:szCs w:val="24"/>
                <w:lang w:val="hr-HR" w:eastAsia="hr-HR"/>
              </w:rPr>
              <w:t>Preddiplomsk</w:t>
            </w:r>
            <w:r>
              <w:rPr>
                <w:rFonts w:asciiTheme="majorHAnsi" w:eastAsia="Times New Roman" w:hAnsiTheme="majorHAnsi" w:cstheme="majorHAnsi"/>
                <w:bCs/>
                <w:iCs/>
                <w:szCs w:val="24"/>
                <w:lang w:val="hr-HR" w:eastAsia="hr-HR"/>
              </w:rPr>
              <w:t>om sveučilišnom</w:t>
            </w:r>
            <w:r w:rsidRPr="00393C95">
              <w:rPr>
                <w:rFonts w:asciiTheme="majorHAnsi" w:eastAsia="Times New Roman" w:hAnsiTheme="majorHAnsi" w:cstheme="majorHAnsi"/>
                <w:bCs/>
                <w:iCs/>
                <w:szCs w:val="24"/>
                <w:lang w:val="hr-HR" w:eastAsia="hr-HR"/>
              </w:rPr>
              <w:t xml:space="preserve"> studij</w:t>
            </w:r>
            <w:r>
              <w:rPr>
                <w:rFonts w:asciiTheme="majorHAnsi" w:eastAsia="Times New Roman" w:hAnsiTheme="majorHAnsi" w:cstheme="majorHAnsi"/>
                <w:bCs/>
                <w:iCs/>
                <w:szCs w:val="24"/>
                <w:lang w:val="hr-HR" w:eastAsia="hr-HR"/>
              </w:rPr>
              <w:t>u</w:t>
            </w:r>
            <w:r w:rsidRPr="00393C95">
              <w:rPr>
                <w:rFonts w:asciiTheme="majorHAnsi" w:eastAsia="Times New Roman" w:hAnsiTheme="majorHAnsi" w:cstheme="majorHAnsi"/>
                <w:bCs/>
                <w:iCs/>
                <w:szCs w:val="24"/>
                <w:lang w:val="hr-HR" w:eastAsia="hr-HR"/>
              </w:rPr>
              <w:t xml:space="preserve"> Geodezij</w:t>
            </w:r>
            <w:r>
              <w:rPr>
                <w:rFonts w:asciiTheme="majorHAnsi" w:eastAsia="Times New Roman" w:hAnsiTheme="majorHAnsi" w:cstheme="majorHAnsi"/>
                <w:bCs/>
                <w:iCs/>
                <w:szCs w:val="24"/>
                <w:lang w:val="hr-HR" w:eastAsia="hr-HR"/>
              </w:rPr>
              <w:t>e</w:t>
            </w:r>
            <w:r w:rsidRPr="00393C95">
              <w:rPr>
                <w:rFonts w:asciiTheme="majorHAnsi" w:eastAsia="Times New Roman" w:hAnsiTheme="majorHAnsi" w:cstheme="majorHAnsi"/>
                <w:bCs/>
                <w:iCs/>
                <w:szCs w:val="24"/>
                <w:lang w:val="hr-HR" w:eastAsia="hr-HR"/>
              </w:rPr>
              <w:t xml:space="preserve"> i </w:t>
            </w:r>
            <w:proofErr w:type="spellStart"/>
            <w:r w:rsidRPr="00393C95">
              <w:rPr>
                <w:rFonts w:asciiTheme="majorHAnsi" w:eastAsia="Times New Roman" w:hAnsiTheme="majorHAnsi" w:cstheme="majorHAnsi"/>
                <w:bCs/>
                <w:iCs/>
                <w:szCs w:val="24"/>
                <w:lang w:val="hr-HR" w:eastAsia="hr-HR"/>
              </w:rPr>
              <w:t>geomatik</w:t>
            </w:r>
            <w:r>
              <w:rPr>
                <w:rFonts w:asciiTheme="majorHAnsi" w:eastAsia="Times New Roman" w:hAnsiTheme="majorHAnsi" w:cstheme="majorHAnsi"/>
                <w:bCs/>
                <w:iCs/>
                <w:szCs w:val="24"/>
                <w:lang w:val="hr-HR" w:eastAsia="hr-HR"/>
              </w:rPr>
              <w:t>e</w:t>
            </w:r>
            <w:proofErr w:type="spellEnd"/>
            <w:r>
              <w:rPr>
                <w:rFonts w:asciiTheme="majorHAnsi" w:eastAsia="Times New Roman" w:hAnsiTheme="majorHAnsi" w:cstheme="majorHAnsi"/>
                <w:bCs/>
                <w:iCs/>
                <w:szCs w:val="24"/>
                <w:lang w:val="hr-HR" w:eastAsia="hr-HR"/>
              </w:rPr>
              <w:t xml:space="preserve"> Sveučilišta Sjever koji je osnovan nakon isteka razdoblja provedbe Strategije.</w:t>
            </w:r>
            <w:r w:rsidR="003059A0">
              <w:rPr>
                <w:rFonts w:asciiTheme="majorHAnsi" w:eastAsia="Times New Roman" w:hAnsiTheme="majorHAnsi" w:cstheme="majorHAnsi"/>
                <w:bCs/>
                <w:iCs/>
                <w:szCs w:val="24"/>
                <w:lang w:val="hr-HR" w:eastAsia="hr-HR"/>
              </w:rPr>
              <w:t xml:space="preserve"> Važno je naglasiti da na nekim fakultetima, poput Arhitektonskog fakulteta te </w:t>
            </w:r>
            <w:r w:rsidR="000E46FB">
              <w:rPr>
                <w:rFonts w:asciiTheme="majorHAnsi" w:eastAsia="Times New Roman" w:hAnsiTheme="majorHAnsi" w:cstheme="majorHAnsi"/>
                <w:bCs/>
                <w:iCs/>
                <w:szCs w:val="24"/>
                <w:lang w:val="hr-HR" w:eastAsia="hr-HR"/>
              </w:rPr>
              <w:t>Prirodoslovno matematičkog fakulteta Sveučilišta u Zagrebu,</w:t>
            </w:r>
            <w:r w:rsidR="003059A0">
              <w:rPr>
                <w:rFonts w:asciiTheme="majorHAnsi" w:eastAsia="Times New Roman" w:hAnsiTheme="majorHAnsi" w:cstheme="majorHAnsi"/>
                <w:bCs/>
                <w:iCs/>
                <w:szCs w:val="24"/>
                <w:lang w:val="hr-HR" w:eastAsia="hr-HR"/>
              </w:rPr>
              <w:t xml:space="preserve"> iako ne postoje samostalni kolegiji posvećeni infrastrukturama prostornih podataka, navedena problematika se obrađivala kroz različita pozvana predavanja</w:t>
            </w:r>
            <w:r w:rsidR="000E46FB">
              <w:rPr>
                <w:rFonts w:asciiTheme="majorHAnsi" w:eastAsia="Times New Roman" w:hAnsiTheme="majorHAnsi" w:cstheme="majorHAnsi"/>
                <w:bCs/>
                <w:iCs/>
                <w:szCs w:val="24"/>
                <w:lang w:val="hr-HR" w:eastAsia="hr-HR"/>
              </w:rPr>
              <w:t>.</w:t>
            </w:r>
          </w:p>
          <w:p w14:paraId="29F25255" w14:textId="77777777" w:rsidR="0035687C" w:rsidRDefault="0035687C" w:rsidP="00233277">
            <w:pPr>
              <w:spacing w:after="0" w:line="240" w:lineRule="auto"/>
              <w:jc w:val="both"/>
              <w:rPr>
                <w:rFonts w:asciiTheme="majorHAnsi" w:eastAsia="Times New Roman" w:hAnsiTheme="majorHAnsi" w:cstheme="majorHAnsi"/>
                <w:bCs/>
                <w:iCs/>
                <w:szCs w:val="24"/>
                <w:lang w:val="hr-HR" w:eastAsia="hr-HR"/>
              </w:rPr>
            </w:pPr>
          </w:p>
          <w:p w14:paraId="504D5ADF" w14:textId="77777777" w:rsidR="00747F7C" w:rsidRDefault="00747F7C" w:rsidP="00233277">
            <w:pPr>
              <w:spacing w:after="0" w:line="240" w:lineRule="auto"/>
              <w:jc w:val="both"/>
              <w:rPr>
                <w:rFonts w:asciiTheme="majorHAnsi" w:eastAsia="Times New Roman" w:hAnsiTheme="majorHAnsi" w:cstheme="majorHAnsi"/>
                <w:bCs/>
                <w:iCs/>
                <w:szCs w:val="24"/>
                <w:lang w:val="hr-HR" w:eastAsia="hr-HR"/>
              </w:rPr>
            </w:pPr>
            <w:r w:rsidRPr="008E2CEF">
              <w:rPr>
                <w:rFonts w:asciiTheme="majorHAnsi" w:eastAsia="Times New Roman" w:hAnsiTheme="majorHAnsi" w:cstheme="majorHAnsi"/>
                <w:bCs/>
                <w:iCs/>
                <w:szCs w:val="24"/>
                <w:lang w:val="hr-HR" w:eastAsia="hr-HR"/>
              </w:rPr>
              <w:t>S obzirom da se studijski programi ne mijenjaju u kratkom razdoblju u kojem se provodila Strategija NIPP-a nije bilo mogućnosti utjecati na stvaranje nov</w:t>
            </w:r>
            <w:r>
              <w:rPr>
                <w:rFonts w:asciiTheme="majorHAnsi" w:eastAsia="Times New Roman" w:hAnsiTheme="majorHAnsi" w:cstheme="majorHAnsi"/>
                <w:bCs/>
                <w:iCs/>
                <w:szCs w:val="24"/>
                <w:lang w:val="hr-HR" w:eastAsia="hr-HR"/>
              </w:rPr>
              <w:t>ih studijskih programa te je navedeni cilj djelomično ostvaren.</w:t>
            </w:r>
          </w:p>
          <w:p w14:paraId="42A40E9A" w14:textId="77777777" w:rsidR="00747F7C" w:rsidRPr="008E2CEF" w:rsidRDefault="00747F7C" w:rsidP="00233277">
            <w:pPr>
              <w:spacing w:after="0" w:line="240" w:lineRule="auto"/>
              <w:jc w:val="both"/>
              <w:rPr>
                <w:rFonts w:asciiTheme="majorHAnsi" w:eastAsia="Times New Roman" w:hAnsiTheme="majorHAnsi" w:cstheme="majorHAnsi"/>
                <w:bCs/>
                <w:iCs/>
                <w:szCs w:val="24"/>
                <w:lang w:val="hr-HR" w:eastAsia="hr-HR"/>
              </w:rPr>
            </w:pPr>
          </w:p>
          <w:p w14:paraId="2AD111DF" w14:textId="77777777" w:rsidR="00747F7C" w:rsidRPr="004C3AEC" w:rsidRDefault="00747F7C" w:rsidP="00233277">
            <w:pPr>
              <w:spacing w:after="0" w:line="240" w:lineRule="auto"/>
              <w:jc w:val="both"/>
              <w:rPr>
                <w:rFonts w:asciiTheme="majorHAnsi" w:eastAsia="Times New Roman" w:hAnsiTheme="majorHAnsi" w:cstheme="majorHAnsi"/>
                <w:szCs w:val="24"/>
                <w:lang w:val="hr-HR"/>
              </w:rPr>
            </w:pPr>
            <w:r w:rsidRPr="004C3AEC">
              <w:rPr>
                <w:rFonts w:asciiTheme="majorHAnsi" w:eastAsia="Times New Roman" w:hAnsiTheme="majorHAnsi" w:cstheme="majorHAnsi"/>
                <w:szCs w:val="24"/>
                <w:lang w:val="hr-HR"/>
              </w:rPr>
              <w:t>Provedbene aktivnosti Strateškog cilja br. 5 bile su usmjerene na</w:t>
            </w:r>
            <w:r>
              <w:rPr>
                <w:rFonts w:asciiTheme="majorHAnsi" w:eastAsia="Times New Roman" w:hAnsiTheme="majorHAnsi" w:cstheme="majorHAnsi"/>
                <w:szCs w:val="24"/>
                <w:lang w:val="hr-HR"/>
              </w:rPr>
              <w:t xml:space="preserve"> osiguranje financijskih, ljudskih i ostalih kapaciteta te podizanje razine znanja iz NIPP-</w:t>
            </w:r>
            <w:r w:rsidRPr="004C3AEC">
              <w:rPr>
                <w:rFonts w:asciiTheme="majorHAnsi" w:eastAsia="Times New Roman" w:hAnsiTheme="majorHAnsi" w:cstheme="majorHAnsi"/>
                <w:szCs w:val="24"/>
                <w:lang w:val="hr-HR"/>
              </w:rPr>
              <w:t>a. U ovu je svrhu u razdoblju 2017.</w:t>
            </w:r>
            <w:r>
              <w:rPr>
                <w:rFonts w:asciiTheme="majorHAnsi" w:eastAsia="Times New Roman" w:hAnsiTheme="majorHAnsi" w:cstheme="majorHAnsi"/>
                <w:szCs w:val="24"/>
                <w:lang w:val="hr-HR"/>
              </w:rPr>
              <w:t xml:space="preserve"> – </w:t>
            </w:r>
            <w:r w:rsidRPr="004C3AEC">
              <w:rPr>
                <w:rFonts w:asciiTheme="majorHAnsi" w:eastAsia="Times New Roman" w:hAnsiTheme="majorHAnsi" w:cstheme="majorHAnsi"/>
                <w:szCs w:val="24"/>
                <w:lang w:val="hr-HR"/>
              </w:rPr>
              <w:t>2020.</w:t>
            </w:r>
            <w:r>
              <w:rPr>
                <w:rFonts w:asciiTheme="majorHAnsi" w:eastAsia="Times New Roman" w:hAnsiTheme="majorHAnsi" w:cstheme="majorHAnsi"/>
                <w:szCs w:val="24"/>
                <w:lang w:val="hr-HR"/>
              </w:rPr>
              <w:t xml:space="preserve"> godine</w:t>
            </w:r>
            <w:r w:rsidRPr="004C3AEC">
              <w:rPr>
                <w:rFonts w:asciiTheme="majorHAnsi" w:eastAsia="Times New Roman" w:hAnsiTheme="majorHAnsi" w:cstheme="majorHAnsi"/>
                <w:szCs w:val="24"/>
                <w:lang w:val="hr-HR"/>
              </w:rPr>
              <w:t xml:space="preserve"> održano 8 radionica namijenjenih subjektima NIPP-a i lokalnim promotorima, odnosno ukupno 18 radionica do kraja 2020. godine. Radionice su obuhvatile različite teme uključujući </w:t>
            </w:r>
            <w:proofErr w:type="spellStart"/>
            <w:r w:rsidRPr="004C3AEC">
              <w:rPr>
                <w:rFonts w:asciiTheme="majorHAnsi" w:eastAsia="Times New Roman" w:hAnsiTheme="majorHAnsi" w:cstheme="majorHAnsi"/>
                <w:szCs w:val="24"/>
                <w:lang w:val="hr-HR"/>
              </w:rPr>
              <w:t>interoperabilnost</w:t>
            </w:r>
            <w:proofErr w:type="spellEnd"/>
            <w:r w:rsidRPr="004C3AEC">
              <w:rPr>
                <w:rFonts w:asciiTheme="majorHAnsi" w:eastAsia="Times New Roman" w:hAnsiTheme="majorHAnsi" w:cstheme="majorHAnsi"/>
                <w:szCs w:val="24"/>
                <w:lang w:val="hr-HR"/>
              </w:rPr>
              <w:t xml:space="preserve">, harmonizaciju prostornih podataka, mrežne usluge, alate za validaciju, Katalog </w:t>
            </w:r>
            <w:proofErr w:type="spellStart"/>
            <w:r w:rsidRPr="004C3AEC">
              <w:rPr>
                <w:rFonts w:asciiTheme="majorHAnsi" w:eastAsia="Times New Roman" w:hAnsiTheme="majorHAnsi" w:cstheme="majorHAnsi"/>
                <w:szCs w:val="24"/>
                <w:lang w:val="hr-HR"/>
              </w:rPr>
              <w:t>metapodataka</w:t>
            </w:r>
            <w:proofErr w:type="spellEnd"/>
            <w:r w:rsidRPr="004C3AEC">
              <w:rPr>
                <w:rFonts w:asciiTheme="majorHAnsi" w:eastAsia="Times New Roman" w:hAnsiTheme="majorHAnsi" w:cstheme="majorHAnsi"/>
                <w:szCs w:val="24"/>
                <w:lang w:val="hr-HR"/>
              </w:rPr>
              <w:t xml:space="preserve"> na </w:t>
            </w:r>
            <w:proofErr w:type="spellStart"/>
            <w:r w:rsidRPr="004C3AEC">
              <w:rPr>
                <w:rFonts w:asciiTheme="majorHAnsi" w:eastAsia="Times New Roman" w:hAnsiTheme="majorHAnsi" w:cstheme="majorHAnsi"/>
                <w:szCs w:val="24"/>
                <w:lang w:val="hr-HR"/>
              </w:rPr>
              <w:t>Geoportalu</w:t>
            </w:r>
            <w:proofErr w:type="spellEnd"/>
            <w:r w:rsidRPr="004C3AEC">
              <w:rPr>
                <w:rFonts w:asciiTheme="majorHAnsi" w:eastAsia="Times New Roman" w:hAnsiTheme="majorHAnsi" w:cstheme="majorHAnsi"/>
                <w:szCs w:val="24"/>
                <w:lang w:val="hr-HR"/>
              </w:rPr>
              <w:t xml:space="preserve"> NIPP-a, INSPIRE Geoportal, povezanost izvora i mnoge druge. Uz održane </w:t>
            </w:r>
            <w:r>
              <w:rPr>
                <w:rFonts w:asciiTheme="majorHAnsi" w:eastAsia="Times New Roman" w:hAnsiTheme="majorHAnsi" w:cstheme="majorHAnsi"/>
                <w:szCs w:val="24"/>
                <w:lang w:val="hr-HR"/>
              </w:rPr>
              <w:t>radionice</w:t>
            </w:r>
            <w:r w:rsidRPr="004C3AEC">
              <w:rPr>
                <w:rFonts w:asciiTheme="majorHAnsi" w:eastAsia="Times New Roman" w:hAnsiTheme="majorHAnsi" w:cstheme="majorHAnsi"/>
                <w:szCs w:val="24"/>
                <w:lang w:val="hr-HR"/>
              </w:rPr>
              <w:t>, Nacionalna kontaktna točka je uspješno organizirala i tri konferencije „Dani IPP-a 2017., 2018. i 2019.“</w:t>
            </w:r>
            <w:r>
              <w:rPr>
                <w:rFonts w:asciiTheme="majorHAnsi" w:eastAsia="Times New Roman" w:hAnsiTheme="majorHAnsi" w:cstheme="majorHAnsi"/>
                <w:szCs w:val="24"/>
                <w:lang w:val="hr-HR"/>
              </w:rPr>
              <w:t xml:space="preserve"> koje su također za cilj imale jačanje kapaciteta i znanja o NIPP-u</w:t>
            </w:r>
            <w:r w:rsidRPr="004C3AEC">
              <w:rPr>
                <w:rFonts w:asciiTheme="majorHAnsi" w:eastAsia="Times New Roman" w:hAnsiTheme="majorHAnsi" w:cstheme="majorHAnsi"/>
                <w:szCs w:val="24"/>
                <w:lang w:val="hr-HR"/>
              </w:rPr>
              <w:t>.</w:t>
            </w:r>
            <w:r w:rsidRPr="005228C2">
              <w:rPr>
                <w:rFonts w:asciiTheme="majorHAnsi" w:eastAsia="Times New Roman" w:hAnsiTheme="majorHAnsi" w:cstheme="majorHAnsi"/>
                <w:color w:val="FF0000"/>
                <w:szCs w:val="24"/>
                <w:lang w:val="hr-HR"/>
              </w:rPr>
              <w:t xml:space="preserve"> </w:t>
            </w:r>
          </w:p>
          <w:p w14:paraId="31A76F61" w14:textId="77777777" w:rsidR="00747F7C" w:rsidRPr="004C3AEC" w:rsidRDefault="00747F7C" w:rsidP="00233277">
            <w:pPr>
              <w:spacing w:after="0" w:line="240" w:lineRule="auto"/>
              <w:jc w:val="both"/>
              <w:rPr>
                <w:rFonts w:asciiTheme="majorHAnsi" w:eastAsia="Times New Roman" w:hAnsiTheme="majorHAnsi" w:cstheme="majorHAnsi"/>
                <w:bCs/>
                <w:iCs/>
                <w:color w:val="AEAAAA" w:themeColor="background2" w:themeShade="BF"/>
                <w:szCs w:val="24"/>
                <w:lang w:val="hr-HR" w:eastAsia="hr-HR"/>
              </w:rPr>
            </w:pPr>
          </w:p>
          <w:p w14:paraId="7F68AE22" w14:textId="77777777" w:rsidR="00747F7C" w:rsidRPr="004C3AEC" w:rsidRDefault="00747F7C" w:rsidP="00233277">
            <w:pPr>
              <w:spacing w:after="0" w:line="240" w:lineRule="auto"/>
              <w:jc w:val="both"/>
              <w:rPr>
                <w:rFonts w:asciiTheme="majorHAnsi" w:eastAsia="Times New Roman" w:hAnsiTheme="majorHAnsi" w:cstheme="majorHAnsi"/>
                <w:szCs w:val="24"/>
                <w:lang w:val="hr-HR"/>
              </w:rPr>
            </w:pPr>
            <w:r w:rsidRPr="004C3AEC">
              <w:rPr>
                <w:rFonts w:asciiTheme="majorHAnsi" w:eastAsia="Times New Roman" w:hAnsiTheme="majorHAnsi" w:cstheme="majorHAnsi"/>
                <w:szCs w:val="24"/>
                <w:lang w:val="hr-HR"/>
              </w:rPr>
              <w:t xml:space="preserve">Predstavnici Nacionalne kontaktne točke se također kontinuirano educiraju kako bi mogli osigurati učinkovitu podršku subjektima NIPP-a </w:t>
            </w:r>
            <w:r>
              <w:rPr>
                <w:rFonts w:asciiTheme="majorHAnsi" w:eastAsia="Times New Roman" w:hAnsiTheme="majorHAnsi" w:cstheme="majorHAnsi"/>
                <w:szCs w:val="24"/>
                <w:lang w:val="hr-HR"/>
              </w:rPr>
              <w:t>u</w:t>
            </w:r>
            <w:r w:rsidRPr="004C3AEC">
              <w:rPr>
                <w:rFonts w:asciiTheme="majorHAnsi" w:eastAsia="Times New Roman" w:hAnsiTheme="majorHAnsi" w:cstheme="majorHAnsi"/>
                <w:szCs w:val="24"/>
                <w:lang w:val="hr-HR"/>
              </w:rPr>
              <w:t xml:space="preserve"> uspostav</w:t>
            </w:r>
            <w:r>
              <w:rPr>
                <w:rFonts w:asciiTheme="majorHAnsi" w:eastAsia="Times New Roman" w:hAnsiTheme="majorHAnsi" w:cstheme="majorHAnsi"/>
                <w:szCs w:val="24"/>
                <w:lang w:val="hr-HR"/>
              </w:rPr>
              <w:t>i</w:t>
            </w:r>
            <w:r w:rsidR="00C028EA">
              <w:rPr>
                <w:rFonts w:asciiTheme="majorHAnsi" w:eastAsia="Times New Roman" w:hAnsiTheme="majorHAnsi" w:cstheme="majorHAnsi"/>
                <w:szCs w:val="24"/>
                <w:lang w:val="hr-HR"/>
              </w:rPr>
              <w:t xml:space="preserve"> NIPP-a i provedbi</w:t>
            </w:r>
            <w:r w:rsidRPr="004C3AEC">
              <w:rPr>
                <w:rFonts w:asciiTheme="majorHAnsi" w:eastAsia="Times New Roman" w:hAnsiTheme="majorHAnsi" w:cstheme="majorHAnsi"/>
                <w:szCs w:val="24"/>
                <w:lang w:val="hr-HR"/>
              </w:rPr>
              <w:t xml:space="preserve"> INSPIRE-a u Republici Hrvatskoj. Jačanje kapaciteta NKT u promatra</w:t>
            </w:r>
            <w:r>
              <w:rPr>
                <w:rFonts w:asciiTheme="majorHAnsi" w:eastAsia="Times New Roman" w:hAnsiTheme="majorHAnsi" w:cstheme="majorHAnsi"/>
                <w:szCs w:val="24"/>
                <w:lang w:val="hr-HR"/>
              </w:rPr>
              <w:t xml:space="preserve">nom razdoblju ostvareno je kroz </w:t>
            </w:r>
            <w:r w:rsidRPr="004C3AEC">
              <w:rPr>
                <w:rFonts w:asciiTheme="majorHAnsi" w:eastAsia="Times New Roman" w:hAnsiTheme="majorHAnsi" w:cstheme="majorHAnsi"/>
                <w:szCs w:val="24"/>
                <w:lang w:val="hr-HR"/>
              </w:rPr>
              <w:t>studijski posjet</w:t>
            </w:r>
            <w:r>
              <w:rPr>
                <w:rFonts w:asciiTheme="majorHAnsi" w:eastAsia="Times New Roman" w:hAnsiTheme="majorHAnsi" w:cstheme="majorHAnsi"/>
                <w:szCs w:val="24"/>
                <w:lang w:val="hr-HR"/>
              </w:rPr>
              <w:t xml:space="preserve"> i sudjelovanje na 3 radionice u organizaciji</w:t>
            </w:r>
            <w:r w:rsidRPr="004C3AEC">
              <w:rPr>
                <w:rFonts w:asciiTheme="majorHAnsi" w:eastAsia="Times New Roman" w:hAnsiTheme="majorHAnsi" w:cstheme="majorHAnsi"/>
                <w:szCs w:val="24"/>
                <w:lang w:val="hr-HR"/>
              </w:rPr>
              <w:t xml:space="preserve"> Zajedničko</w:t>
            </w:r>
            <w:r>
              <w:rPr>
                <w:rFonts w:asciiTheme="majorHAnsi" w:eastAsia="Times New Roman" w:hAnsiTheme="majorHAnsi" w:cstheme="majorHAnsi"/>
                <w:szCs w:val="24"/>
                <w:lang w:val="hr-HR"/>
              </w:rPr>
              <w:t>g</w:t>
            </w:r>
            <w:r w:rsidRPr="004C3AEC">
              <w:rPr>
                <w:rFonts w:asciiTheme="majorHAnsi" w:eastAsia="Times New Roman" w:hAnsiTheme="majorHAnsi" w:cstheme="majorHAnsi"/>
                <w:szCs w:val="24"/>
                <w:lang w:val="hr-HR"/>
              </w:rPr>
              <w:t xml:space="preserve"> istraživačko</w:t>
            </w:r>
            <w:r>
              <w:rPr>
                <w:rFonts w:asciiTheme="majorHAnsi" w:eastAsia="Times New Roman" w:hAnsiTheme="majorHAnsi" w:cstheme="majorHAnsi"/>
                <w:szCs w:val="24"/>
                <w:lang w:val="hr-HR"/>
              </w:rPr>
              <w:t>g</w:t>
            </w:r>
            <w:r w:rsidRPr="004C3AEC">
              <w:rPr>
                <w:rFonts w:asciiTheme="majorHAnsi" w:eastAsia="Times New Roman" w:hAnsiTheme="majorHAnsi" w:cstheme="majorHAnsi"/>
                <w:szCs w:val="24"/>
                <w:lang w:val="hr-HR"/>
              </w:rPr>
              <w:t xml:space="preserve"> centr</w:t>
            </w:r>
            <w:r>
              <w:rPr>
                <w:rFonts w:asciiTheme="majorHAnsi" w:eastAsia="Times New Roman" w:hAnsiTheme="majorHAnsi" w:cstheme="majorHAnsi"/>
                <w:szCs w:val="24"/>
                <w:lang w:val="hr-HR"/>
              </w:rPr>
              <w:t>a</w:t>
            </w:r>
            <w:r w:rsidRPr="004C3AEC">
              <w:rPr>
                <w:rFonts w:asciiTheme="majorHAnsi" w:eastAsia="Times New Roman" w:hAnsiTheme="majorHAnsi" w:cstheme="majorHAnsi"/>
                <w:szCs w:val="24"/>
                <w:lang w:val="hr-HR"/>
              </w:rPr>
              <w:t xml:space="preserve"> Europske</w:t>
            </w:r>
            <w:r w:rsidR="00C028EA">
              <w:rPr>
                <w:rFonts w:asciiTheme="majorHAnsi" w:eastAsia="Times New Roman" w:hAnsiTheme="majorHAnsi" w:cstheme="majorHAnsi"/>
                <w:szCs w:val="24"/>
                <w:lang w:val="hr-HR"/>
              </w:rPr>
              <w:t xml:space="preserve"> komisije</w:t>
            </w:r>
            <w:r w:rsidRPr="009912D6">
              <w:rPr>
                <w:rFonts w:asciiTheme="majorHAnsi" w:eastAsia="Times New Roman" w:hAnsiTheme="majorHAnsi" w:cstheme="majorHAnsi"/>
                <w:szCs w:val="24"/>
                <w:lang w:val="hr-HR"/>
              </w:rPr>
              <w:t xml:space="preserve">. </w:t>
            </w:r>
          </w:p>
          <w:p w14:paraId="6DED3CA5" w14:textId="77777777" w:rsidR="00747F7C" w:rsidRPr="004C3AEC" w:rsidRDefault="00747F7C" w:rsidP="00233277">
            <w:pPr>
              <w:spacing w:after="0" w:line="240" w:lineRule="auto"/>
              <w:jc w:val="both"/>
              <w:rPr>
                <w:rFonts w:asciiTheme="majorHAnsi" w:eastAsia="Times New Roman" w:hAnsiTheme="majorHAnsi" w:cstheme="majorHAnsi"/>
                <w:szCs w:val="24"/>
                <w:lang w:val="hr-HR"/>
              </w:rPr>
            </w:pPr>
          </w:p>
          <w:p w14:paraId="413C6E2B" w14:textId="77777777" w:rsidR="00747F7C" w:rsidRDefault="00747F7C" w:rsidP="00233277">
            <w:pPr>
              <w:spacing w:after="0" w:line="240" w:lineRule="auto"/>
              <w:jc w:val="both"/>
              <w:rPr>
                <w:rFonts w:asciiTheme="majorHAnsi" w:eastAsia="Times New Roman" w:hAnsiTheme="majorHAnsi" w:cstheme="majorHAnsi"/>
                <w:szCs w:val="24"/>
                <w:lang w:val="hr-HR"/>
              </w:rPr>
            </w:pPr>
            <w:r w:rsidRPr="004C3AEC">
              <w:rPr>
                <w:rFonts w:asciiTheme="majorHAnsi" w:eastAsia="Times New Roman" w:hAnsiTheme="majorHAnsi" w:cstheme="majorHAnsi"/>
                <w:szCs w:val="24"/>
                <w:lang w:val="hr-HR"/>
              </w:rPr>
              <w:t xml:space="preserve">Financijski kapaciteti kao jedan od operativnih ciljeva Strateškog cilja br. 5 ostvareni su u </w:t>
            </w:r>
            <w:r>
              <w:rPr>
                <w:rFonts w:asciiTheme="majorHAnsi" w:eastAsia="Times New Roman" w:hAnsiTheme="majorHAnsi" w:cstheme="majorHAnsi"/>
                <w:szCs w:val="24"/>
                <w:lang w:val="hr-HR"/>
              </w:rPr>
              <w:t>potpunosti</w:t>
            </w:r>
            <w:r w:rsidRPr="004C3AEC">
              <w:rPr>
                <w:rFonts w:asciiTheme="majorHAnsi" w:eastAsia="Times New Roman" w:hAnsiTheme="majorHAnsi" w:cstheme="majorHAnsi"/>
                <w:szCs w:val="24"/>
                <w:lang w:val="hr-HR"/>
              </w:rPr>
              <w:t>, iako je u samoj Strategiji NIPP-a istaknuto kako se predviđa djelomično ispunjenje postavljenog cilja.</w:t>
            </w:r>
            <w:r>
              <w:rPr>
                <w:rFonts w:asciiTheme="majorHAnsi" w:eastAsia="Times New Roman" w:hAnsiTheme="majorHAnsi" w:cstheme="majorHAnsi"/>
                <w:szCs w:val="24"/>
                <w:lang w:val="hr-HR"/>
              </w:rPr>
              <w:t xml:space="preserve"> Subjekti NIPP-a naveli su kako su razdoblju 2017. – 2020. godine uložili više od 32 milijuna kuna u svrhu uspostave i razvoja NIPP-a u svojim institucijama. Međutim, važno je istaknuti kako je o</w:t>
            </w:r>
            <w:r w:rsidRPr="004C3AEC">
              <w:rPr>
                <w:rFonts w:asciiTheme="majorHAnsi" w:eastAsia="Times New Roman" w:hAnsiTheme="majorHAnsi" w:cstheme="majorHAnsi"/>
                <w:szCs w:val="24"/>
                <w:lang w:val="hr-HR"/>
              </w:rPr>
              <w:t xml:space="preserve">dređeni broj subjekata </w:t>
            </w:r>
            <w:r>
              <w:rPr>
                <w:rFonts w:asciiTheme="majorHAnsi" w:eastAsia="Times New Roman" w:hAnsiTheme="majorHAnsi" w:cstheme="majorHAnsi"/>
                <w:szCs w:val="24"/>
                <w:lang w:val="hr-HR"/>
              </w:rPr>
              <w:t>izražena</w:t>
            </w:r>
            <w:r w:rsidRPr="004C3AEC">
              <w:rPr>
                <w:rFonts w:asciiTheme="majorHAnsi" w:eastAsia="Times New Roman" w:hAnsiTheme="majorHAnsi" w:cstheme="majorHAnsi"/>
                <w:szCs w:val="24"/>
                <w:lang w:val="hr-HR"/>
              </w:rPr>
              <w:t xml:space="preserve"> </w:t>
            </w:r>
            <w:r>
              <w:rPr>
                <w:rFonts w:asciiTheme="majorHAnsi" w:eastAsia="Times New Roman" w:hAnsiTheme="majorHAnsi" w:cstheme="majorHAnsi"/>
                <w:szCs w:val="24"/>
                <w:lang w:val="hr-HR"/>
              </w:rPr>
              <w:t xml:space="preserve">financijska sredstva uložio u prikupljanje, pripremu i održavanje samih prostornih podataka, odnosno pripremne radnje </w:t>
            </w:r>
            <w:r>
              <w:rPr>
                <w:rFonts w:asciiTheme="majorHAnsi" w:eastAsia="Times New Roman" w:hAnsiTheme="majorHAnsi" w:cstheme="majorHAnsi"/>
                <w:szCs w:val="24"/>
                <w:lang w:val="hr-HR"/>
              </w:rPr>
              <w:lastRenderedPageBreak/>
              <w:t>kako bi se ispunile obveze NIPP-a, dok su drugi naveli isključivo sredstva namijenjena razvoju mrežnih usluga te harmonizaciji prostornih podataka.</w:t>
            </w:r>
          </w:p>
          <w:p w14:paraId="465B3493" w14:textId="77777777" w:rsidR="00747F7C" w:rsidRPr="004C3AEC" w:rsidRDefault="00747F7C" w:rsidP="00233277">
            <w:pPr>
              <w:spacing w:after="0" w:line="240" w:lineRule="auto"/>
              <w:jc w:val="both"/>
              <w:rPr>
                <w:rFonts w:asciiTheme="majorHAnsi" w:eastAsia="Times New Roman" w:hAnsiTheme="majorHAnsi" w:cstheme="majorHAnsi"/>
                <w:szCs w:val="24"/>
                <w:lang w:val="hr-HR"/>
              </w:rPr>
            </w:pPr>
          </w:p>
          <w:p w14:paraId="33FCB3C9" w14:textId="77777777" w:rsidR="00747F7C" w:rsidRPr="004C3AEC" w:rsidRDefault="00747F7C" w:rsidP="00233277">
            <w:pPr>
              <w:spacing w:after="0" w:line="240" w:lineRule="auto"/>
              <w:jc w:val="both"/>
              <w:rPr>
                <w:rFonts w:asciiTheme="majorHAnsi" w:eastAsia="Times New Roman" w:hAnsiTheme="majorHAnsi" w:cstheme="majorHAnsi"/>
                <w:szCs w:val="24"/>
                <w:lang w:val="hr-HR"/>
              </w:rPr>
            </w:pPr>
            <w:r w:rsidRPr="004C3AEC">
              <w:rPr>
                <w:rFonts w:asciiTheme="majorHAnsi" w:eastAsia="Times New Roman" w:hAnsiTheme="majorHAnsi" w:cstheme="majorHAnsi"/>
                <w:szCs w:val="24"/>
                <w:lang w:val="hr-HR"/>
              </w:rPr>
              <w:t xml:space="preserve">U promatranom razdoblju </w:t>
            </w:r>
            <w:r>
              <w:rPr>
                <w:rFonts w:asciiTheme="majorHAnsi" w:eastAsia="Times New Roman" w:hAnsiTheme="majorHAnsi" w:cstheme="majorHAnsi"/>
                <w:szCs w:val="24"/>
                <w:lang w:val="hr-HR"/>
              </w:rPr>
              <w:t>subjekti NIPP-a</w:t>
            </w:r>
            <w:r w:rsidRPr="004C3AEC">
              <w:rPr>
                <w:rFonts w:asciiTheme="majorHAnsi" w:eastAsia="Times New Roman" w:hAnsiTheme="majorHAnsi" w:cstheme="majorHAnsi"/>
                <w:szCs w:val="24"/>
                <w:lang w:val="hr-HR"/>
              </w:rPr>
              <w:t xml:space="preserve"> </w:t>
            </w:r>
            <w:r>
              <w:rPr>
                <w:rFonts w:asciiTheme="majorHAnsi" w:eastAsia="Times New Roman" w:hAnsiTheme="majorHAnsi" w:cstheme="majorHAnsi"/>
                <w:szCs w:val="24"/>
                <w:lang w:val="hr-HR"/>
              </w:rPr>
              <w:t>su</w:t>
            </w:r>
            <w:r w:rsidRPr="004C3AEC">
              <w:rPr>
                <w:rFonts w:asciiTheme="majorHAnsi" w:eastAsia="Times New Roman" w:hAnsiTheme="majorHAnsi" w:cstheme="majorHAnsi"/>
                <w:szCs w:val="24"/>
                <w:lang w:val="hr-HR"/>
              </w:rPr>
              <w:t xml:space="preserve"> podnijel</w:t>
            </w:r>
            <w:r>
              <w:rPr>
                <w:rFonts w:asciiTheme="majorHAnsi" w:eastAsia="Times New Roman" w:hAnsiTheme="majorHAnsi" w:cstheme="majorHAnsi"/>
                <w:szCs w:val="24"/>
                <w:lang w:val="hr-HR"/>
              </w:rPr>
              <w:t>i</w:t>
            </w:r>
            <w:r w:rsidRPr="004C3AEC">
              <w:rPr>
                <w:rFonts w:asciiTheme="majorHAnsi" w:eastAsia="Times New Roman" w:hAnsiTheme="majorHAnsi" w:cstheme="majorHAnsi"/>
                <w:szCs w:val="24"/>
                <w:lang w:val="hr-HR"/>
              </w:rPr>
              <w:t xml:space="preserve"> </w:t>
            </w:r>
            <w:r>
              <w:rPr>
                <w:rFonts w:asciiTheme="majorHAnsi" w:eastAsia="Times New Roman" w:hAnsiTheme="majorHAnsi" w:cstheme="majorHAnsi"/>
                <w:szCs w:val="24"/>
                <w:lang w:val="hr-HR"/>
              </w:rPr>
              <w:t xml:space="preserve">ukupno osam </w:t>
            </w:r>
            <w:r w:rsidRPr="004C3AEC">
              <w:rPr>
                <w:rFonts w:asciiTheme="majorHAnsi" w:eastAsia="Times New Roman" w:hAnsiTheme="majorHAnsi" w:cstheme="majorHAnsi"/>
                <w:szCs w:val="24"/>
                <w:lang w:val="hr-HR"/>
              </w:rPr>
              <w:t>zahtjeva za financiranjem iz strukturnih i kohezijskih fondova</w:t>
            </w:r>
            <w:r>
              <w:rPr>
                <w:rFonts w:asciiTheme="majorHAnsi" w:eastAsia="Times New Roman" w:hAnsiTheme="majorHAnsi" w:cstheme="majorHAnsi"/>
                <w:szCs w:val="24"/>
                <w:lang w:val="hr-HR"/>
              </w:rPr>
              <w:t xml:space="preserve"> te je jedan iz programa LIFE, a koji su uključili barem jednu aktivnost vezanu za razvoj NIPP-a, od čega dva projekta koja su u cijelosti posvećena NIPP-u. </w:t>
            </w:r>
            <w:r w:rsidRPr="004C3AEC">
              <w:rPr>
                <w:rFonts w:asciiTheme="majorHAnsi" w:eastAsia="Times New Roman" w:hAnsiTheme="majorHAnsi" w:cstheme="majorHAnsi"/>
                <w:szCs w:val="24"/>
                <w:lang w:val="hr-HR"/>
              </w:rPr>
              <w:t xml:space="preserve">Državna geodetska uprava uspješno </w:t>
            </w:r>
            <w:r>
              <w:rPr>
                <w:rFonts w:asciiTheme="majorHAnsi" w:eastAsia="Times New Roman" w:hAnsiTheme="majorHAnsi" w:cstheme="majorHAnsi"/>
                <w:szCs w:val="24"/>
                <w:lang w:val="hr-HR"/>
              </w:rPr>
              <w:t xml:space="preserve">je </w:t>
            </w:r>
            <w:r w:rsidRPr="004C3AEC">
              <w:rPr>
                <w:rFonts w:asciiTheme="majorHAnsi" w:eastAsia="Times New Roman" w:hAnsiTheme="majorHAnsi" w:cstheme="majorHAnsi"/>
                <w:szCs w:val="24"/>
                <w:lang w:val="hr-HR"/>
              </w:rPr>
              <w:t>provela projek</w:t>
            </w:r>
            <w:r>
              <w:rPr>
                <w:rFonts w:asciiTheme="majorHAnsi" w:eastAsia="Times New Roman" w:hAnsiTheme="majorHAnsi" w:cstheme="majorHAnsi"/>
                <w:szCs w:val="24"/>
                <w:lang w:val="hr-HR"/>
              </w:rPr>
              <w:t>te</w:t>
            </w:r>
            <w:r w:rsidRPr="004C3AEC">
              <w:rPr>
                <w:rFonts w:asciiTheme="majorHAnsi" w:eastAsia="Times New Roman" w:hAnsiTheme="majorHAnsi" w:cstheme="majorHAnsi"/>
                <w:szCs w:val="24"/>
                <w:lang w:val="hr-HR"/>
              </w:rPr>
              <w:t>:</w:t>
            </w:r>
          </w:p>
          <w:p w14:paraId="0089EB55" w14:textId="77777777" w:rsidR="00747F7C" w:rsidRPr="00DF1B80" w:rsidRDefault="00747F7C" w:rsidP="008C1448">
            <w:pPr>
              <w:pStyle w:val="ListParagraph"/>
              <w:numPr>
                <w:ilvl w:val="0"/>
                <w:numId w:val="9"/>
              </w:numPr>
              <w:spacing w:after="0" w:line="240" w:lineRule="auto"/>
              <w:ind w:left="563"/>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„Jačanje kapaciteta za uspostavu NIPP-a“, koji je realiziran u razdoblju od veljače 2019. do lipnja 2021., te je sufinanciran sredstvima Europskog socijalnog fonda u iznosu od 590.089,24 kn (ukupna vrijednost projekta 694.222,64 kn). Projekt u cijelosti posvećen NIPP-u.</w:t>
            </w:r>
          </w:p>
          <w:p w14:paraId="4615D007" w14:textId="7D825B18" w:rsidR="00747F7C" w:rsidRPr="00DF1B80" w:rsidRDefault="00747F7C" w:rsidP="008C1448">
            <w:pPr>
              <w:pStyle w:val="ListParagraph"/>
              <w:numPr>
                <w:ilvl w:val="0"/>
                <w:numId w:val="9"/>
              </w:numPr>
              <w:spacing w:after="0" w:line="240" w:lineRule="auto"/>
              <w:ind w:left="563"/>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 xml:space="preserve">„Povećanje dostupnosti prostornih podataka NIPP-a putem e-usluga“, koji je realiziran u razdoblju od 1. prosinca 2019. do 1. lipnja 2021. godine, te je sufinanciran sredstvima Europskog fonda za regionalni razvoj u iznosu od 680.000,00 kn (ukupna vrijednost projekta 800.000,00 kn). Projekt </w:t>
            </w:r>
            <w:r w:rsidR="00634E19">
              <w:rPr>
                <w:rFonts w:asciiTheme="majorHAnsi" w:eastAsia="Times New Roman" w:hAnsiTheme="majorHAnsi" w:cstheme="majorHAnsi"/>
                <w:szCs w:val="24"/>
                <w:lang w:val="hr-HR"/>
              </w:rPr>
              <w:t xml:space="preserve">je </w:t>
            </w:r>
            <w:r w:rsidRPr="00DF1B80">
              <w:rPr>
                <w:rFonts w:asciiTheme="majorHAnsi" w:eastAsia="Times New Roman" w:hAnsiTheme="majorHAnsi" w:cstheme="majorHAnsi"/>
                <w:szCs w:val="24"/>
                <w:lang w:val="hr-HR"/>
              </w:rPr>
              <w:t>u cijelosti posvećen NIPP-u.</w:t>
            </w:r>
          </w:p>
          <w:p w14:paraId="4DDA8691" w14:textId="77777777" w:rsidR="00747F7C" w:rsidRPr="00DF1B80" w:rsidRDefault="00747F7C" w:rsidP="008C1448">
            <w:pPr>
              <w:pStyle w:val="ListParagraph"/>
              <w:numPr>
                <w:ilvl w:val="0"/>
                <w:numId w:val="9"/>
              </w:numPr>
              <w:spacing w:after="0" w:line="240" w:lineRule="auto"/>
              <w:ind w:left="563"/>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„Uspostava informacijskog sustava u funkciji jedinstvene informacijske točke i katastra infrastrukture (e-katastar infrastrukture)“, djelomično posvećen NIPP-u.</w:t>
            </w:r>
          </w:p>
          <w:p w14:paraId="53694ECD" w14:textId="77777777" w:rsidR="00747F7C" w:rsidRPr="00DF1B80" w:rsidRDefault="00747F7C" w:rsidP="008C1448">
            <w:pPr>
              <w:pStyle w:val="ListParagraph"/>
              <w:numPr>
                <w:ilvl w:val="0"/>
                <w:numId w:val="9"/>
              </w:numPr>
              <w:spacing w:after="0" w:line="240" w:lineRule="auto"/>
              <w:ind w:left="563"/>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w:t>
            </w:r>
            <w:r w:rsidRPr="008C407A">
              <w:rPr>
                <w:rFonts w:asciiTheme="majorHAnsi" w:hAnsiTheme="majorHAnsi" w:cstheme="majorHAnsi"/>
                <w:lang w:val="hr-HR"/>
              </w:rPr>
              <w:t xml:space="preserve">Uspostava službenog topografsko-kartografskog informacijskog sustava koji će se koristiti kao podloga za </w:t>
            </w:r>
            <w:proofErr w:type="spellStart"/>
            <w:r w:rsidRPr="008C407A">
              <w:rPr>
                <w:rFonts w:asciiTheme="majorHAnsi" w:hAnsiTheme="majorHAnsi" w:cstheme="majorHAnsi"/>
                <w:lang w:val="hr-HR"/>
              </w:rPr>
              <w:t>geoinformacijske</w:t>
            </w:r>
            <w:proofErr w:type="spellEnd"/>
            <w:r w:rsidRPr="008C407A">
              <w:rPr>
                <w:rFonts w:asciiTheme="majorHAnsi" w:hAnsiTheme="majorHAnsi" w:cstheme="majorHAnsi"/>
                <w:lang w:val="hr-HR"/>
              </w:rPr>
              <w:t xml:space="preserve"> sustave tijela državne uprave i javnog sektora”,</w:t>
            </w:r>
            <w:r w:rsidRPr="00DF1B80">
              <w:rPr>
                <w:rFonts w:asciiTheme="majorHAnsi" w:hAnsiTheme="majorHAnsi" w:cstheme="majorHAnsi"/>
              </w:rPr>
              <w:t xml:space="preserve"> </w:t>
            </w:r>
            <w:r w:rsidRPr="00DF1B80">
              <w:rPr>
                <w:rFonts w:asciiTheme="majorHAnsi" w:eastAsia="Times New Roman" w:hAnsiTheme="majorHAnsi" w:cstheme="majorHAnsi"/>
                <w:szCs w:val="24"/>
                <w:lang w:val="hr-HR"/>
              </w:rPr>
              <w:t>djelomično posvećen NIPP-u.</w:t>
            </w:r>
          </w:p>
          <w:p w14:paraId="0A00FE6B" w14:textId="77777777" w:rsidR="00747F7C" w:rsidRPr="00DF1B80" w:rsidRDefault="00747F7C" w:rsidP="00233277">
            <w:pPr>
              <w:spacing w:after="0" w:line="240" w:lineRule="auto"/>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Sljedeći projekti još su u provedbi:</w:t>
            </w:r>
          </w:p>
          <w:p w14:paraId="632D1095" w14:textId="4E058335" w:rsidR="00747F7C" w:rsidRPr="00DF1B80" w:rsidRDefault="00747F7C" w:rsidP="008C1448">
            <w:pPr>
              <w:pStyle w:val="ListParagraph"/>
              <w:numPr>
                <w:ilvl w:val="0"/>
                <w:numId w:val="9"/>
              </w:numPr>
              <w:spacing w:after="0" w:line="240" w:lineRule="auto"/>
              <w:ind w:left="563"/>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„Uspostava e-Registra zgrada“, djelomično posvećen NIPP-u</w:t>
            </w:r>
            <w:r>
              <w:rPr>
                <w:rFonts w:asciiTheme="majorHAnsi" w:eastAsia="Times New Roman" w:hAnsiTheme="majorHAnsi" w:cstheme="majorHAnsi"/>
                <w:szCs w:val="24"/>
                <w:lang w:val="hr-HR"/>
              </w:rPr>
              <w:t xml:space="preserve"> (Državna geodetska uprava)</w:t>
            </w:r>
          </w:p>
          <w:p w14:paraId="52E2096E" w14:textId="77777777" w:rsidR="006D5512" w:rsidRPr="00BE5AB8" w:rsidRDefault="00747F7C" w:rsidP="008C1448">
            <w:pPr>
              <w:pStyle w:val="ListParagraph"/>
              <w:numPr>
                <w:ilvl w:val="0"/>
                <w:numId w:val="9"/>
              </w:numPr>
              <w:ind w:left="563"/>
              <w:jc w:val="both"/>
              <w:rPr>
                <w:rFonts w:asciiTheme="majorHAnsi" w:eastAsia="Times New Roman" w:hAnsiTheme="majorHAnsi" w:cstheme="majorHAnsi"/>
                <w:b/>
                <w:szCs w:val="24"/>
                <w:lang w:val="hr-HR"/>
              </w:rPr>
            </w:pPr>
            <w:r w:rsidRPr="00DF1B80">
              <w:rPr>
                <w:rFonts w:asciiTheme="majorHAnsi" w:eastAsia="Times New Roman" w:hAnsiTheme="majorHAnsi" w:cstheme="majorHAnsi"/>
                <w:szCs w:val="24"/>
                <w:lang w:val="hr-HR"/>
              </w:rPr>
              <w:t>„Upravljanje zemljišnim podacima u Republici Hrvatskoj“, djelomično posvećen NIPP-u</w:t>
            </w:r>
            <w:r>
              <w:rPr>
                <w:rFonts w:asciiTheme="majorHAnsi" w:eastAsia="Times New Roman" w:hAnsiTheme="majorHAnsi" w:cstheme="majorHAnsi"/>
                <w:szCs w:val="24"/>
                <w:lang w:val="hr-HR"/>
              </w:rPr>
              <w:t xml:space="preserve"> (Državna geodetska uprava)</w:t>
            </w:r>
          </w:p>
          <w:p w14:paraId="4490B0FB" w14:textId="77777777" w:rsidR="00747F7C" w:rsidRPr="00BE5AB8" w:rsidRDefault="006D5512" w:rsidP="00BE5AB8">
            <w:pPr>
              <w:pStyle w:val="ListParagraph"/>
              <w:numPr>
                <w:ilvl w:val="0"/>
                <w:numId w:val="9"/>
              </w:numPr>
              <w:ind w:left="571"/>
              <w:jc w:val="both"/>
              <w:rPr>
                <w:rFonts w:asciiTheme="majorHAnsi" w:eastAsia="Times New Roman" w:hAnsiTheme="majorHAnsi" w:cstheme="majorHAnsi"/>
                <w:szCs w:val="24"/>
                <w:lang w:val="hr-HR"/>
              </w:rPr>
            </w:pPr>
            <w:r>
              <w:rPr>
                <w:rFonts w:asciiTheme="majorHAnsi" w:eastAsia="Times New Roman" w:hAnsiTheme="majorHAnsi" w:cstheme="majorHAnsi"/>
                <w:szCs w:val="24"/>
                <w:lang w:val="hr-HR"/>
              </w:rPr>
              <w:t>„</w:t>
            </w:r>
            <w:r w:rsidRPr="00013794">
              <w:rPr>
                <w:rFonts w:asciiTheme="majorHAnsi" w:eastAsia="Times New Roman" w:hAnsiTheme="majorHAnsi" w:cstheme="majorHAnsi"/>
                <w:szCs w:val="24"/>
                <w:lang w:val="hr-HR"/>
              </w:rPr>
              <w:t>Evidentiranje posebnog pravnog režima kao doprinos učinkovitijem upravljanju</w:t>
            </w:r>
            <w:r w:rsidRPr="00E94EBA">
              <w:rPr>
                <w:rFonts w:asciiTheme="majorHAnsi" w:eastAsia="Times New Roman" w:hAnsiTheme="majorHAnsi" w:cstheme="majorHAnsi"/>
                <w:szCs w:val="24"/>
                <w:lang w:val="hr-HR"/>
              </w:rPr>
              <w:t xml:space="preserve"> </w:t>
            </w:r>
            <w:r w:rsidRPr="00013794">
              <w:rPr>
                <w:rFonts w:asciiTheme="majorHAnsi" w:eastAsia="Times New Roman" w:hAnsiTheme="majorHAnsi" w:cstheme="majorHAnsi"/>
                <w:szCs w:val="24"/>
                <w:lang w:val="hr-HR"/>
              </w:rPr>
              <w:t>zaštićenim područjima</w:t>
            </w:r>
            <w:r>
              <w:rPr>
                <w:rFonts w:asciiTheme="majorHAnsi" w:eastAsia="Times New Roman" w:hAnsiTheme="majorHAnsi" w:cstheme="majorHAnsi"/>
                <w:szCs w:val="24"/>
                <w:lang w:val="hr-HR"/>
              </w:rPr>
              <w:t>“,</w:t>
            </w:r>
            <w:r w:rsidRPr="00461AA0">
              <w:rPr>
                <w:rFonts w:asciiTheme="majorHAnsi" w:eastAsia="Times New Roman" w:hAnsiTheme="majorHAnsi" w:cstheme="majorHAnsi"/>
                <w:szCs w:val="24"/>
                <w:lang w:val="hr-HR"/>
              </w:rPr>
              <w:t xml:space="preserve"> djelomično posvećen NIPP-u (Državna geodetska uprava)</w:t>
            </w:r>
          </w:p>
          <w:p w14:paraId="7DE255DC" w14:textId="77777777" w:rsidR="00747F7C" w:rsidRDefault="00747F7C" w:rsidP="008C1448">
            <w:pPr>
              <w:pStyle w:val="ListParagraph"/>
              <w:numPr>
                <w:ilvl w:val="0"/>
                <w:numId w:val="9"/>
              </w:numPr>
              <w:spacing w:after="0" w:line="240" w:lineRule="auto"/>
              <w:ind w:left="563"/>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„CROLIS - Hrvatski zemljišni informacijski susta</w:t>
            </w:r>
            <w:r>
              <w:rPr>
                <w:rFonts w:asciiTheme="majorHAnsi" w:eastAsia="Times New Roman" w:hAnsiTheme="majorHAnsi" w:cstheme="majorHAnsi"/>
                <w:szCs w:val="24"/>
                <w:lang w:val="hr-HR"/>
              </w:rPr>
              <w:t>v“, djelomično posvećen NIPP-u (</w:t>
            </w:r>
            <w:r w:rsidR="006D5512" w:rsidRPr="00461AA0">
              <w:rPr>
                <w:rFonts w:asciiTheme="majorHAnsi" w:eastAsia="Times New Roman" w:hAnsiTheme="majorHAnsi" w:cstheme="majorHAnsi"/>
                <w:szCs w:val="24"/>
                <w:lang w:val="hr-HR"/>
              </w:rPr>
              <w:t>M</w:t>
            </w:r>
            <w:r w:rsidR="006D5512">
              <w:rPr>
                <w:rFonts w:asciiTheme="majorHAnsi" w:eastAsia="Times New Roman" w:hAnsiTheme="majorHAnsi" w:cstheme="majorHAnsi"/>
                <w:szCs w:val="24"/>
                <w:lang w:val="hr-HR"/>
              </w:rPr>
              <w:t>inistarstvo gospodarstva i održivog razvoja</w:t>
            </w:r>
            <w:r>
              <w:rPr>
                <w:rFonts w:asciiTheme="majorHAnsi" w:eastAsia="Times New Roman" w:hAnsiTheme="majorHAnsi" w:cstheme="majorHAnsi"/>
                <w:szCs w:val="24"/>
                <w:lang w:val="hr-HR"/>
              </w:rPr>
              <w:t>)</w:t>
            </w:r>
          </w:p>
          <w:p w14:paraId="6F04E077" w14:textId="77777777" w:rsidR="00747F7C" w:rsidRDefault="00747F7C" w:rsidP="008C1448">
            <w:pPr>
              <w:pStyle w:val="ListParagraph"/>
              <w:numPr>
                <w:ilvl w:val="0"/>
                <w:numId w:val="9"/>
              </w:numPr>
              <w:spacing w:after="0" w:line="240" w:lineRule="auto"/>
              <w:ind w:left="563"/>
              <w:jc w:val="both"/>
              <w:rPr>
                <w:rFonts w:asciiTheme="majorHAnsi" w:eastAsia="Times New Roman" w:hAnsiTheme="majorHAnsi" w:cstheme="majorHAnsi"/>
                <w:szCs w:val="24"/>
                <w:lang w:val="hr-HR"/>
              </w:rPr>
            </w:pPr>
            <w:r w:rsidRPr="00F87EBC">
              <w:rPr>
                <w:rFonts w:asciiTheme="majorHAnsi" w:eastAsia="Times New Roman" w:hAnsiTheme="majorHAnsi" w:cstheme="majorHAnsi"/>
                <w:szCs w:val="24"/>
                <w:lang w:val="hr-HR"/>
              </w:rPr>
              <w:t>„Informacijski sustav prostornoga uređenja (ISPU) i njegovi moduli“, djelomično posvećen NIPP-u</w:t>
            </w:r>
            <w:r>
              <w:rPr>
                <w:rFonts w:asciiTheme="majorHAnsi" w:eastAsia="Times New Roman" w:hAnsiTheme="majorHAnsi" w:cstheme="majorHAnsi"/>
                <w:szCs w:val="24"/>
                <w:lang w:val="hr-HR"/>
              </w:rPr>
              <w:t xml:space="preserve"> (</w:t>
            </w:r>
            <w:r w:rsidRPr="000932CC">
              <w:rPr>
                <w:rFonts w:asciiTheme="majorHAnsi" w:eastAsia="Times New Roman" w:hAnsiTheme="majorHAnsi" w:cstheme="majorHAnsi"/>
                <w:szCs w:val="24"/>
                <w:lang w:val="hr-HR"/>
              </w:rPr>
              <w:t>Ministarstvo prostornoga uređenja, graditeljstva i državne imovine</w:t>
            </w:r>
            <w:r>
              <w:rPr>
                <w:rFonts w:asciiTheme="majorHAnsi" w:eastAsia="Times New Roman" w:hAnsiTheme="majorHAnsi" w:cstheme="majorHAnsi"/>
                <w:szCs w:val="24"/>
                <w:lang w:val="hr-HR"/>
              </w:rPr>
              <w:t>)</w:t>
            </w:r>
          </w:p>
          <w:p w14:paraId="292425B3" w14:textId="77777777" w:rsidR="00747F7C" w:rsidRPr="00F87EBC" w:rsidRDefault="00747F7C" w:rsidP="008C1448">
            <w:pPr>
              <w:pStyle w:val="ListParagraph"/>
              <w:numPr>
                <w:ilvl w:val="0"/>
                <w:numId w:val="9"/>
              </w:numPr>
              <w:spacing w:after="0" w:line="240" w:lineRule="auto"/>
              <w:ind w:left="563"/>
              <w:jc w:val="both"/>
              <w:rPr>
                <w:rFonts w:asciiTheme="majorHAnsi" w:eastAsia="Times New Roman" w:hAnsiTheme="majorHAnsi" w:cstheme="majorHAnsi"/>
                <w:szCs w:val="24"/>
                <w:lang w:val="hr-HR"/>
              </w:rPr>
            </w:pPr>
            <w:r>
              <w:rPr>
                <w:rFonts w:asciiTheme="majorHAnsi" w:eastAsia="Times New Roman" w:hAnsiTheme="majorHAnsi" w:cstheme="majorHAnsi"/>
                <w:szCs w:val="24"/>
                <w:lang w:val="hr-HR"/>
              </w:rPr>
              <w:t>„</w:t>
            </w:r>
            <w:r w:rsidRPr="007E2792">
              <w:rPr>
                <w:rFonts w:asciiTheme="majorHAnsi" w:eastAsia="Times New Roman" w:hAnsiTheme="majorHAnsi" w:cstheme="majorHAnsi"/>
                <w:szCs w:val="24"/>
                <w:lang w:val="hr-HR"/>
              </w:rPr>
              <w:t xml:space="preserve">Projekt modernizacije meteorološke motriteljske mreže u RH </w:t>
            </w:r>
            <w:r>
              <w:rPr>
                <w:rFonts w:asciiTheme="majorHAnsi" w:eastAsia="Times New Roman" w:hAnsiTheme="majorHAnsi" w:cstheme="majorHAnsi"/>
                <w:szCs w:val="24"/>
                <w:lang w:val="hr-HR"/>
              </w:rPr>
              <w:t>–</w:t>
            </w:r>
            <w:r w:rsidRPr="007E2792">
              <w:rPr>
                <w:rFonts w:asciiTheme="majorHAnsi" w:eastAsia="Times New Roman" w:hAnsiTheme="majorHAnsi" w:cstheme="majorHAnsi"/>
                <w:szCs w:val="24"/>
                <w:lang w:val="hr-HR"/>
              </w:rPr>
              <w:t xml:space="preserve"> METMONIC</w:t>
            </w:r>
            <w:r>
              <w:rPr>
                <w:rFonts w:asciiTheme="majorHAnsi" w:eastAsia="Times New Roman" w:hAnsiTheme="majorHAnsi" w:cstheme="majorHAnsi"/>
                <w:szCs w:val="24"/>
                <w:lang w:val="hr-HR"/>
              </w:rPr>
              <w:t xml:space="preserve">“, </w:t>
            </w:r>
            <w:r w:rsidRPr="00F87EBC">
              <w:rPr>
                <w:rFonts w:asciiTheme="majorHAnsi" w:eastAsia="Times New Roman" w:hAnsiTheme="majorHAnsi" w:cstheme="majorHAnsi"/>
                <w:szCs w:val="24"/>
                <w:lang w:val="hr-HR"/>
              </w:rPr>
              <w:t>djelomično posvećen NIPP-u</w:t>
            </w:r>
            <w:r>
              <w:rPr>
                <w:rFonts w:asciiTheme="majorHAnsi" w:eastAsia="Times New Roman" w:hAnsiTheme="majorHAnsi" w:cstheme="majorHAnsi"/>
                <w:szCs w:val="24"/>
                <w:lang w:val="hr-HR"/>
              </w:rPr>
              <w:t xml:space="preserve"> (Državni hidrometeorološki zavod)</w:t>
            </w:r>
            <w:r w:rsidRPr="00F87EBC">
              <w:rPr>
                <w:rFonts w:asciiTheme="majorHAnsi" w:eastAsia="Times New Roman" w:hAnsiTheme="majorHAnsi" w:cstheme="majorHAnsi"/>
                <w:szCs w:val="24"/>
                <w:lang w:val="hr-HR"/>
              </w:rPr>
              <w:t>.</w:t>
            </w:r>
          </w:p>
          <w:p w14:paraId="6AC7103A" w14:textId="182DDEB2" w:rsidR="00747F7C" w:rsidRPr="000B57AF" w:rsidRDefault="00747F7C" w:rsidP="00233277">
            <w:pPr>
              <w:spacing w:after="0" w:line="240" w:lineRule="auto"/>
              <w:jc w:val="both"/>
              <w:rPr>
                <w:rFonts w:asciiTheme="majorHAnsi" w:eastAsia="Times New Roman" w:hAnsiTheme="majorHAnsi" w:cstheme="majorHAnsi"/>
                <w:szCs w:val="24"/>
                <w:lang w:val="hr-HR"/>
              </w:rPr>
            </w:pPr>
            <w:r>
              <w:rPr>
                <w:rFonts w:asciiTheme="majorHAnsi" w:eastAsia="Times New Roman" w:hAnsiTheme="majorHAnsi" w:cstheme="majorHAnsi"/>
                <w:szCs w:val="24"/>
                <w:lang w:val="hr-HR"/>
              </w:rPr>
              <w:t>U</w:t>
            </w:r>
            <w:r w:rsidRPr="004C3AEC">
              <w:rPr>
                <w:rFonts w:asciiTheme="majorHAnsi" w:eastAsia="Times New Roman" w:hAnsiTheme="majorHAnsi" w:cstheme="majorHAnsi"/>
                <w:szCs w:val="24"/>
                <w:lang w:val="hr-HR"/>
              </w:rPr>
              <w:t xml:space="preserve"> promatranom razdoblju </w:t>
            </w:r>
            <w:r w:rsidRPr="004E29F8">
              <w:rPr>
                <w:rFonts w:asciiTheme="majorHAnsi" w:eastAsia="Times New Roman" w:hAnsiTheme="majorHAnsi" w:cstheme="majorHAnsi"/>
                <w:szCs w:val="24"/>
                <w:lang w:val="hr-HR"/>
              </w:rPr>
              <w:t>Državn</w:t>
            </w:r>
            <w:r>
              <w:rPr>
                <w:rFonts w:asciiTheme="majorHAnsi" w:eastAsia="Times New Roman" w:hAnsiTheme="majorHAnsi" w:cstheme="majorHAnsi"/>
                <w:szCs w:val="24"/>
                <w:lang w:val="hr-HR"/>
              </w:rPr>
              <w:t>a</w:t>
            </w:r>
            <w:r w:rsidRPr="004E29F8">
              <w:rPr>
                <w:rFonts w:asciiTheme="majorHAnsi" w:eastAsia="Times New Roman" w:hAnsiTheme="majorHAnsi" w:cstheme="majorHAnsi"/>
                <w:szCs w:val="24"/>
                <w:lang w:val="hr-HR"/>
              </w:rPr>
              <w:t xml:space="preserve"> geodetsk</w:t>
            </w:r>
            <w:r>
              <w:rPr>
                <w:rFonts w:asciiTheme="majorHAnsi" w:eastAsia="Times New Roman" w:hAnsiTheme="majorHAnsi" w:cstheme="majorHAnsi"/>
                <w:szCs w:val="24"/>
                <w:lang w:val="hr-HR"/>
              </w:rPr>
              <w:t>a</w:t>
            </w:r>
            <w:r w:rsidRPr="004E29F8">
              <w:rPr>
                <w:rFonts w:asciiTheme="majorHAnsi" w:eastAsia="Times New Roman" w:hAnsiTheme="majorHAnsi" w:cstheme="majorHAnsi"/>
                <w:szCs w:val="24"/>
                <w:lang w:val="hr-HR"/>
              </w:rPr>
              <w:t xml:space="preserve"> uprav</w:t>
            </w:r>
            <w:r>
              <w:rPr>
                <w:rFonts w:asciiTheme="majorHAnsi" w:eastAsia="Times New Roman" w:hAnsiTheme="majorHAnsi" w:cstheme="majorHAnsi"/>
                <w:szCs w:val="24"/>
                <w:lang w:val="hr-HR"/>
              </w:rPr>
              <w:t>a</w:t>
            </w:r>
            <w:r w:rsidRPr="004E29F8">
              <w:rPr>
                <w:rFonts w:asciiTheme="majorHAnsi" w:eastAsia="Times New Roman" w:hAnsiTheme="majorHAnsi" w:cstheme="majorHAnsi"/>
                <w:szCs w:val="24"/>
                <w:lang w:val="hr-HR"/>
              </w:rPr>
              <w:t xml:space="preserve"> </w:t>
            </w:r>
            <w:r>
              <w:rPr>
                <w:rFonts w:asciiTheme="majorHAnsi" w:eastAsia="Times New Roman" w:hAnsiTheme="majorHAnsi" w:cstheme="majorHAnsi"/>
                <w:szCs w:val="24"/>
                <w:lang w:val="hr-HR"/>
              </w:rPr>
              <w:t xml:space="preserve">je </w:t>
            </w:r>
            <w:r w:rsidRPr="004C3AEC">
              <w:rPr>
                <w:rFonts w:asciiTheme="majorHAnsi" w:eastAsia="Times New Roman" w:hAnsiTheme="majorHAnsi" w:cstheme="majorHAnsi"/>
                <w:szCs w:val="24"/>
                <w:lang w:val="hr-HR"/>
              </w:rPr>
              <w:t>kontinuirano ulaga</w:t>
            </w:r>
            <w:r>
              <w:rPr>
                <w:rFonts w:asciiTheme="majorHAnsi" w:eastAsia="Times New Roman" w:hAnsiTheme="majorHAnsi" w:cstheme="majorHAnsi"/>
                <w:szCs w:val="24"/>
                <w:lang w:val="hr-HR"/>
              </w:rPr>
              <w:t>la</w:t>
            </w:r>
            <w:r w:rsidRPr="004C3AEC">
              <w:rPr>
                <w:rFonts w:asciiTheme="majorHAnsi" w:eastAsia="Times New Roman" w:hAnsiTheme="majorHAnsi" w:cstheme="majorHAnsi"/>
                <w:szCs w:val="24"/>
                <w:lang w:val="hr-HR"/>
              </w:rPr>
              <w:t xml:space="preserve"> u održavanje i razvoj NIPP-a kroz </w:t>
            </w:r>
            <w:r>
              <w:rPr>
                <w:rFonts w:asciiTheme="majorHAnsi" w:eastAsia="Times New Roman" w:hAnsiTheme="majorHAnsi" w:cstheme="majorHAnsi"/>
                <w:szCs w:val="24"/>
                <w:lang w:val="hr-HR"/>
              </w:rPr>
              <w:t xml:space="preserve">održavanje i </w:t>
            </w:r>
            <w:r w:rsidRPr="004C3AEC">
              <w:rPr>
                <w:rFonts w:asciiTheme="majorHAnsi" w:eastAsia="Times New Roman" w:hAnsiTheme="majorHAnsi" w:cstheme="majorHAnsi"/>
                <w:szCs w:val="24"/>
                <w:lang w:val="hr-HR"/>
              </w:rPr>
              <w:t xml:space="preserve">unaprjeđenje </w:t>
            </w:r>
            <w:proofErr w:type="spellStart"/>
            <w:r w:rsidRPr="004C3AEC">
              <w:rPr>
                <w:rFonts w:asciiTheme="majorHAnsi" w:eastAsia="Times New Roman" w:hAnsiTheme="majorHAnsi" w:cstheme="majorHAnsi"/>
                <w:szCs w:val="24"/>
                <w:lang w:val="hr-HR"/>
              </w:rPr>
              <w:t>Geoportala</w:t>
            </w:r>
            <w:proofErr w:type="spellEnd"/>
            <w:r w:rsidRPr="004C3AEC">
              <w:rPr>
                <w:rFonts w:asciiTheme="majorHAnsi" w:eastAsia="Times New Roman" w:hAnsiTheme="majorHAnsi" w:cstheme="majorHAnsi"/>
                <w:szCs w:val="24"/>
                <w:lang w:val="hr-HR"/>
              </w:rPr>
              <w:t xml:space="preserve"> NIPP-a,</w:t>
            </w:r>
            <w:r>
              <w:rPr>
                <w:rFonts w:asciiTheme="majorHAnsi" w:eastAsia="Times New Roman" w:hAnsiTheme="majorHAnsi" w:cstheme="majorHAnsi"/>
                <w:szCs w:val="24"/>
                <w:lang w:val="hr-HR"/>
              </w:rPr>
              <w:t xml:space="preserve"> razvoj preglednika </w:t>
            </w:r>
            <w:proofErr w:type="spellStart"/>
            <w:r>
              <w:rPr>
                <w:rFonts w:asciiTheme="majorHAnsi" w:eastAsia="Times New Roman" w:hAnsiTheme="majorHAnsi" w:cstheme="majorHAnsi"/>
                <w:szCs w:val="24"/>
                <w:lang w:val="hr-HR"/>
              </w:rPr>
              <w:t>GeoHrvatska</w:t>
            </w:r>
            <w:proofErr w:type="spellEnd"/>
            <w:r>
              <w:rPr>
                <w:rFonts w:asciiTheme="majorHAnsi" w:eastAsia="Times New Roman" w:hAnsiTheme="majorHAnsi" w:cstheme="majorHAnsi"/>
                <w:szCs w:val="24"/>
                <w:lang w:val="hr-HR"/>
              </w:rPr>
              <w:t xml:space="preserve">, </w:t>
            </w:r>
            <w:r w:rsidRPr="004C3AEC">
              <w:rPr>
                <w:rFonts w:asciiTheme="majorHAnsi" w:eastAsia="Times New Roman" w:hAnsiTheme="majorHAnsi" w:cstheme="majorHAnsi"/>
                <w:szCs w:val="24"/>
                <w:lang w:val="hr-HR"/>
              </w:rPr>
              <w:t>rad</w:t>
            </w:r>
            <w:r>
              <w:rPr>
                <w:rFonts w:asciiTheme="majorHAnsi" w:eastAsia="Times New Roman" w:hAnsiTheme="majorHAnsi" w:cstheme="majorHAnsi"/>
                <w:szCs w:val="24"/>
                <w:lang w:val="hr-HR"/>
              </w:rPr>
              <w:t xml:space="preserve"> i edukaciju</w:t>
            </w:r>
            <w:r w:rsidRPr="004C3AEC">
              <w:rPr>
                <w:rFonts w:asciiTheme="majorHAnsi" w:eastAsia="Times New Roman" w:hAnsiTheme="majorHAnsi" w:cstheme="majorHAnsi"/>
                <w:szCs w:val="24"/>
                <w:lang w:val="hr-HR"/>
              </w:rPr>
              <w:t xml:space="preserve"> N</w:t>
            </w:r>
            <w:r>
              <w:rPr>
                <w:rFonts w:asciiTheme="majorHAnsi" w:eastAsia="Times New Roman" w:hAnsiTheme="majorHAnsi" w:cstheme="majorHAnsi"/>
                <w:szCs w:val="24"/>
                <w:lang w:val="hr-HR"/>
              </w:rPr>
              <w:t>acionalne kontaktne točke te</w:t>
            </w:r>
            <w:r w:rsidRPr="004C3AEC">
              <w:rPr>
                <w:rFonts w:asciiTheme="majorHAnsi" w:eastAsia="Times New Roman" w:hAnsiTheme="majorHAnsi" w:cstheme="majorHAnsi"/>
                <w:szCs w:val="24"/>
                <w:lang w:val="hr-HR"/>
              </w:rPr>
              <w:t xml:space="preserve"> edukaciju subjekta</w:t>
            </w:r>
            <w:r>
              <w:rPr>
                <w:rFonts w:asciiTheme="majorHAnsi" w:eastAsia="Times New Roman" w:hAnsiTheme="majorHAnsi" w:cstheme="majorHAnsi"/>
                <w:szCs w:val="24"/>
                <w:lang w:val="hr-HR"/>
              </w:rPr>
              <w:t xml:space="preserve"> NIPP-a.</w:t>
            </w:r>
            <w:r w:rsidRPr="004E29F8">
              <w:rPr>
                <w:rFonts w:asciiTheme="majorHAnsi" w:eastAsia="Times New Roman" w:hAnsiTheme="majorHAnsi" w:cstheme="majorHAnsi"/>
                <w:szCs w:val="24"/>
                <w:lang w:val="hr-HR"/>
              </w:rPr>
              <w:t xml:space="preserve"> Ukupan iznos uloženih sredstava Državne geodetske uprave </w:t>
            </w:r>
            <w:r>
              <w:rPr>
                <w:rFonts w:asciiTheme="majorHAnsi" w:eastAsia="Times New Roman" w:hAnsiTheme="majorHAnsi" w:cstheme="majorHAnsi"/>
                <w:szCs w:val="24"/>
                <w:lang w:val="hr-HR"/>
              </w:rPr>
              <w:t>za G</w:t>
            </w:r>
            <w:r w:rsidRPr="004E29F8">
              <w:rPr>
                <w:rFonts w:asciiTheme="majorHAnsi" w:eastAsia="Times New Roman" w:hAnsiTheme="majorHAnsi" w:cstheme="majorHAnsi"/>
                <w:szCs w:val="24"/>
                <w:lang w:val="hr-HR"/>
              </w:rPr>
              <w:t>eoportal NIPP-a, rad NKT-a i edukaciju subjekata</w:t>
            </w:r>
            <w:r>
              <w:rPr>
                <w:rFonts w:asciiTheme="majorHAnsi" w:eastAsia="Times New Roman" w:hAnsiTheme="majorHAnsi" w:cstheme="majorHAnsi"/>
                <w:szCs w:val="24"/>
                <w:lang w:val="hr-HR"/>
              </w:rPr>
              <w:t xml:space="preserve"> premašuje</w:t>
            </w:r>
            <w:r w:rsidRPr="004E29F8">
              <w:rPr>
                <w:rFonts w:asciiTheme="majorHAnsi" w:eastAsia="Times New Roman" w:hAnsiTheme="majorHAnsi" w:cstheme="majorHAnsi"/>
                <w:szCs w:val="24"/>
                <w:lang w:val="hr-HR"/>
              </w:rPr>
              <w:t xml:space="preserve"> 10.000.000,00 kuna.</w:t>
            </w:r>
          </w:p>
          <w:p w14:paraId="71C676DB" w14:textId="77777777" w:rsidR="00747F7C" w:rsidRDefault="00747F7C" w:rsidP="00233277">
            <w:pPr>
              <w:spacing w:after="0" w:line="240" w:lineRule="auto"/>
              <w:jc w:val="both"/>
              <w:rPr>
                <w:rFonts w:asciiTheme="majorHAnsi" w:eastAsia="Times New Roman" w:hAnsiTheme="majorHAnsi" w:cstheme="majorHAnsi"/>
                <w:bCs/>
                <w:iCs/>
                <w:color w:val="AEAAAA" w:themeColor="background2" w:themeShade="BF"/>
                <w:szCs w:val="24"/>
                <w:lang w:val="hr-HR" w:eastAsia="hr-HR"/>
              </w:rPr>
            </w:pPr>
          </w:p>
          <w:p w14:paraId="65CA9E13" w14:textId="77777777" w:rsidR="00747F7C" w:rsidRPr="004C3AEC" w:rsidRDefault="00747F7C" w:rsidP="00233277">
            <w:pPr>
              <w:spacing w:after="0" w:line="240" w:lineRule="auto"/>
              <w:jc w:val="both"/>
              <w:rPr>
                <w:rFonts w:asciiTheme="majorHAnsi" w:eastAsia="Times New Roman" w:hAnsiTheme="majorHAnsi" w:cstheme="majorHAnsi"/>
                <w:szCs w:val="24"/>
                <w:lang w:val="hr-HR"/>
              </w:rPr>
            </w:pPr>
            <w:r w:rsidRPr="004C3AEC">
              <w:rPr>
                <w:rFonts w:asciiTheme="majorHAnsi" w:eastAsia="Times New Roman" w:hAnsiTheme="majorHAnsi" w:cstheme="majorHAnsi"/>
                <w:szCs w:val="24"/>
                <w:lang w:val="hr-HR"/>
              </w:rPr>
              <w:lastRenderedPageBreak/>
              <w:t xml:space="preserve">U pogledu razvoja poslovnih modela ili sličnih dokumenata (strategija, programa i dr.) koji opravdavaju tražena ulaganja nisu ostvareni predviđeni ciljevi. </w:t>
            </w:r>
            <w:r>
              <w:rPr>
                <w:rFonts w:asciiTheme="majorHAnsi" w:eastAsia="Times New Roman" w:hAnsiTheme="majorHAnsi" w:cstheme="majorHAnsi"/>
                <w:szCs w:val="24"/>
                <w:lang w:val="hr-HR"/>
              </w:rPr>
              <w:t xml:space="preserve">Niti jedan od subjekata NIPP-a nije razvio poslovni model ili sličan dokument. </w:t>
            </w:r>
            <w:r w:rsidRPr="00666717">
              <w:rPr>
                <w:rFonts w:asciiTheme="majorHAnsi" w:eastAsia="Times New Roman" w:hAnsiTheme="majorHAnsi" w:cstheme="majorHAnsi"/>
                <w:szCs w:val="24"/>
                <w:lang w:val="hr-HR"/>
              </w:rPr>
              <w:t xml:space="preserve">Pretpostavlja se da je razlog u tome što razvoj poslovnih modela nije praksa tijela javne vlasti. </w:t>
            </w:r>
            <w:r w:rsidRPr="004C3AEC">
              <w:rPr>
                <w:rFonts w:asciiTheme="majorHAnsi" w:eastAsia="Times New Roman" w:hAnsiTheme="majorHAnsi" w:cstheme="majorHAnsi"/>
                <w:szCs w:val="24"/>
                <w:lang w:val="hr-HR"/>
              </w:rPr>
              <w:t>Preliminarni upitnik je proveden 2017. godine na malom broju ispitanika, no većina njih je navela da njihova institucija nema uspostavljen poslovni model:</w:t>
            </w:r>
          </w:p>
          <w:p w14:paraId="291F3C1C" w14:textId="77777777" w:rsidR="00747F7C" w:rsidRDefault="00747F7C" w:rsidP="007D4F15">
            <w:pPr>
              <w:spacing w:after="0" w:line="240" w:lineRule="auto"/>
              <w:rPr>
                <w:rFonts w:asciiTheme="majorHAnsi" w:eastAsia="Times New Roman" w:hAnsiTheme="majorHAnsi" w:cstheme="majorHAnsi"/>
                <w:bCs/>
                <w:iCs/>
                <w:color w:val="AEAAAA" w:themeColor="background2" w:themeShade="BF"/>
                <w:szCs w:val="24"/>
                <w:lang w:val="hr-HR" w:eastAsia="hr-HR"/>
              </w:rPr>
            </w:pPr>
            <w:r>
              <w:rPr>
                <w:noProof/>
                <w:lang w:val="hr-HR" w:eastAsia="hr-HR"/>
              </w:rPr>
              <w:drawing>
                <wp:inline distT="0" distB="0" distL="0" distR="0" wp14:anchorId="2549FFDE" wp14:editId="22E9ACA9">
                  <wp:extent cx="4524375" cy="23526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51C5A8" w14:textId="77777777" w:rsidR="00747F7C" w:rsidRPr="00122047" w:rsidRDefault="00747F7C" w:rsidP="00233277">
            <w:pPr>
              <w:spacing w:after="0" w:line="240" w:lineRule="auto"/>
              <w:jc w:val="both"/>
              <w:rPr>
                <w:rFonts w:asciiTheme="majorHAnsi" w:eastAsia="Times New Roman" w:hAnsiTheme="majorHAnsi" w:cstheme="majorHAnsi"/>
                <w:bCs/>
                <w:iCs/>
                <w:color w:val="AEAAAA" w:themeColor="background2" w:themeShade="BF"/>
                <w:szCs w:val="24"/>
                <w:lang w:val="hr-HR" w:eastAsia="hr-HR"/>
              </w:rPr>
            </w:pPr>
            <w:r w:rsidRPr="004C3AEC">
              <w:rPr>
                <w:rFonts w:asciiTheme="majorHAnsi" w:eastAsia="Times New Roman" w:hAnsiTheme="majorHAnsi" w:cstheme="majorHAnsi"/>
                <w:szCs w:val="24"/>
                <w:lang w:val="hr-HR"/>
              </w:rPr>
              <w:t xml:space="preserve">Prema rezultatima upitnika provedenog 2017. godine te prema odgovorima subjekata NIPP-a </w:t>
            </w:r>
            <w:r>
              <w:rPr>
                <w:rFonts w:asciiTheme="majorHAnsi" w:eastAsia="Times New Roman" w:hAnsiTheme="majorHAnsi" w:cstheme="majorHAnsi"/>
                <w:szCs w:val="24"/>
                <w:lang w:val="hr-HR"/>
              </w:rPr>
              <w:t>prikupljenim</w:t>
            </w:r>
            <w:r w:rsidRPr="004C3AEC">
              <w:rPr>
                <w:rFonts w:asciiTheme="majorHAnsi" w:eastAsia="Times New Roman" w:hAnsiTheme="majorHAnsi" w:cstheme="majorHAnsi"/>
                <w:szCs w:val="24"/>
                <w:lang w:val="hr-HR"/>
              </w:rPr>
              <w:t xml:space="preserve"> u svrhu izrade ovog Izvješća, vidljivo je da su potrebna dodatna ulaganja, prvenstveno u pogledu edukacija, kako bi subjekti mogli prepoznati dobrobiti izrade poslovnih modela.</w:t>
            </w:r>
            <w:r>
              <w:rPr>
                <w:rFonts w:asciiTheme="majorHAnsi" w:eastAsia="Times New Roman" w:hAnsiTheme="majorHAnsi" w:cstheme="majorHAnsi"/>
                <w:bCs/>
                <w:iCs/>
                <w:color w:val="AEAAAA" w:themeColor="background2" w:themeShade="BF"/>
                <w:szCs w:val="24"/>
                <w:lang w:val="hr-HR" w:eastAsia="hr-HR"/>
              </w:rPr>
              <w:t xml:space="preserve"> </w:t>
            </w:r>
          </w:p>
        </w:tc>
      </w:tr>
      <w:tr w:rsidR="00747F7C" w:rsidRPr="00454565" w14:paraId="5100C0BE" w14:textId="77777777" w:rsidTr="007D4F15">
        <w:trPr>
          <w:trHeight w:val="292"/>
        </w:trPr>
        <w:tc>
          <w:tcPr>
            <w:tcW w:w="2295" w:type="dxa"/>
            <w:shd w:val="clear" w:color="auto" w:fill="auto"/>
            <w:noWrap/>
            <w:vAlign w:val="center"/>
          </w:tcPr>
          <w:p w14:paraId="506B0704"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lastRenderedPageBreak/>
              <w:t>Rok provedbe</w:t>
            </w:r>
          </w:p>
        </w:tc>
        <w:tc>
          <w:tcPr>
            <w:tcW w:w="7344" w:type="dxa"/>
            <w:gridSpan w:val="4"/>
            <w:shd w:val="clear" w:color="auto" w:fill="auto"/>
            <w:vAlign w:val="center"/>
          </w:tcPr>
          <w:p w14:paraId="34F909FB"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31.12.2020.</w:t>
            </w:r>
          </w:p>
        </w:tc>
      </w:tr>
      <w:tr w:rsidR="00747F7C" w:rsidRPr="00454565" w14:paraId="42E939D8" w14:textId="77777777" w:rsidTr="007D4F15">
        <w:trPr>
          <w:trHeight w:val="292"/>
        </w:trPr>
        <w:tc>
          <w:tcPr>
            <w:tcW w:w="2295" w:type="dxa"/>
            <w:shd w:val="clear" w:color="auto" w:fill="auto"/>
            <w:noWrap/>
            <w:vAlign w:val="center"/>
          </w:tcPr>
          <w:p w14:paraId="24EF1BB5"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Iznos planiranih i utrošenih sredstava</w:t>
            </w:r>
          </w:p>
        </w:tc>
        <w:tc>
          <w:tcPr>
            <w:tcW w:w="3672" w:type="dxa"/>
            <w:shd w:val="clear" w:color="auto" w:fill="auto"/>
            <w:vAlign w:val="center"/>
          </w:tcPr>
          <w:p w14:paraId="0406AAB3" w14:textId="77777777" w:rsidR="00747F7C" w:rsidRPr="00B66DBF" w:rsidRDefault="00747F7C" w:rsidP="007D4F15">
            <w:pPr>
              <w:spacing w:after="0" w:line="240" w:lineRule="auto"/>
              <w:rPr>
                <w:rFonts w:asciiTheme="majorHAnsi" w:eastAsia="Times New Roman" w:hAnsiTheme="majorHAnsi" w:cstheme="majorHAnsi"/>
                <w:color w:val="AEAAAA" w:themeColor="background2" w:themeShade="BF"/>
                <w:lang w:val="hr-HR"/>
              </w:rPr>
            </w:pPr>
            <w:r w:rsidRPr="00DF7D9C">
              <w:rPr>
                <w:rFonts w:asciiTheme="majorHAnsi" w:eastAsia="Times New Roman" w:hAnsiTheme="majorHAnsi" w:cstheme="majorHAnsi"/>
                <w:bCs/>
                <w:iCs/>
                <w:szCs w:val="24"/>
                <w:lang w:val="hr-HR" w:eastAsia="hr-HR"/>
              </w:rPr>
              <w:t xml:space="preserve">Planirano: </w:t>
            </w:r>
            <w:r>
              <w:rPr>
                <w:rFonts w:asciiTheme="majorHAnsi" w:eastAsia="Times New Roman" w:hAnsiTheme="majorHAnsi" w:cstheme="majorHAnsi"/>
                <w:bCs/>
                <w:iCs/>
                <w:szCs w:val="24"/>
                <w:lang w:val="hr-HR" w:eastAsia="hr-HR"/>
              </w:rPr>
              <w:t>3.871.500</w:t>
            </w:r>
            <w:r w:rsidRPr="00DF7D9C">
              <w:rPr>
                <w:rFonts w:asciiTheme="majorHAnsi" w:eastAsia="Times New Roman" w:hAnsiTheme="majorHAnsi" w:cstheme="majorHAnsi"/>
                <w:bCs/>
                <w:iCs/>
                <w:szCs w:val="24"/>
                <w:lang w:val="hr-HR" w:eastAsia="hr-HR"/>
              </w:rPr>
              <w:t>,00 kn</w:t>
            </w:r>
          </w:p>
        </w:tc>
        <w:tc>
          <w:tcPr>
            <w:tcW w:w="3672" w:type="dxa"/>
            <w:gridSpan w:val="3"/>
            <w:shd w:val="clear" w:color="auto" w:fill="auto"/>
            <w:vAlign w:val="center"/>
          </w:tcPr>
          <w:p w14:paraId="0ECF547F" w14:textId="77777777" w:rsidR="00747F7C" w:rsidRPr="00122047" w:rsidRDefault="00747F7C" w:rsidP="007D4F15">
            <w:pPr>
              <w:spacing w:after="0" w:line="240" w:lineRule="auto"/>
              <w:rPr>
                <w:rFonts w:asciiTheme="majorHAnsi" w:eastAsia="Times New Roman" w:hAnsiTheme="majorHAnsi" w:cstheme="majorHAnsi"/>
                <w:bCs/>
                <w:iCs/>
                <w:szCs w:val="24"/>
                <w:lang w:val="hr-HR" w:eastAsia="hr-HR"/>
              </w:rPr>
            </w:pPr>
            <w:r w:rsidRPr="00122047">
              <w:rPr>
                <w:rFonts w:asciiTheme="majorHAnsi" w:eastAsia="Times New Roman" w:hAnsiTheme="majorHAnsi" w:cstheme="majorHAnsi"/>
                <w:bCs/>
                <w:iCs/>
                <w:szCs w:val="24"/>
                <w:lang w:val="hr-HR" w:eastAsia="hr-HR"/>
              </w:rPr>
              <w:t xml:space="preserve">Utrošeno: </w:t>
            </w:r>
            <w:r>
              <w:rPr>
                <w:rFonts w:asciiTheme="majorHAnsi" w:eastAsia="Times New Roman" w:hAnsiTheme="majorHAnsi" w:cstheme="majorHAnsi"/>
                <w:bCs/>
                <w:iCs/>
                <w:szCs w:val="24"/>
                <w:lang w:val="hr-HR" w:eastAsia="hr-HR"/>
              </w:rPr>
              <w:t>43.042.992</w:t>
            </w:r>
            <w:r w:rsidRPr="00247905">
              <w:rPr>
                <w:rFonts w:asciiTheme="majorHAnsi" w:eastAsia="Times New Roman" w:hAnsiTheme="majorHAnsi" w:cstheme="majorHAnsi"/>
                <w:bCs/>
                <w:iCs/>
                <w:szCs w:val="24"/>
                <w:lang w:val="hr-HR" w:eastAsia="hr-HR"/>
              </w:rPr>
              <w:t xml:space="preserve"> kn</w:t>
            </w:r>
            <w:r>
              <w:rPr>
                <w:rFonts w:asciiTheme="majorHAnsi" w:eastAsia="Times New Roman" w:hAnsiTheme="majorHAnsi" w:cstheme="majorHAnsi"/>
                <w:bCs/>
                <w:iCs/>
                <w:szCs w:val="24"/>
                <w:lang w:val="hr-HR" w:eastAsia="hr-HR"/>
              </w:rPr>
              <w:t xml:space="preserve"> (</w:t>
            </w:r>
            <w:r>
              <w:rPr>
                <w:rFonts w:asciiTheme="majorHAnsi" w:eastAsia="Times New Roman" w:hAnsiTheme="majorHAnsi" w:cstheme="majorHAnsi"/>
                <w:szCs w:val="24"/>
                <w:lang w:val="hr-HR"/>
              </w:rPr>
              <w:t>izražena</w:t>
            </w:r>
            <w:r w:rsidRPr="004C3AEC">
              <w:rPr>
                <w:rFonts w:asciiTheme="majorHAnsi" w:eastAsia="Times New Roman" w:hAnsiTheme="majorHAnsi" w:cstheme="majorHAnsi"/>
                <w:szCs w:val="24"/>
                <w:lang w:val="hr-HR"/>
              </w:rPr>
              <w:t xml:space="preserve"> </w:t>
            </w:r>
            <w:r>
              <w:rPr>
                <w:rFonts w:asciiTheme="majorHAnsi" w:eastAsia="Times New Roman" w:hAnsiTheme="majorHAnsi" w:cstheme="majorHAnsi"/>
                <w:szCs w:val="24"/>
                <w:lang w:val="hr-HR"/>
              </w:rPr>
              <w:t>financijska sredstva uložena su u pripremu prostornih podataka kako bi se ispunile obveze NIPP-a</w:t>
            </w:r>
            <w:r>
              <w:rPr>
                <w:rFonts w:asciiTheme="majorHAnsi" w:eastAsia="Times New Roman" w:hAnsiTheme="majorHAnsi" w:cstheme="majorHAnsi"/>
                <w:bCs/>
                <w:iCs/>
                <w:szCs w:val="24"/>
                <w:lang w:val="hr-HR" w:eastAsia="hr-HR"/>
              </w:rPr>
              <w:t>)</w:t>
            </w:r>
          </w:p>
        </w:tc>
      </w:tr>
      <w:tr w:rsidR="00747F7C" w:rsidRPr="00454565" w14:paraId="2AE1020E" w14:textId="77777777" w:rsidTr="007D4F15">
        <w:trPr>
          <w:trHeight w:val="292"/>
        </w:trPr>
        <w:tc>
          <w:tcPr>
            <w:tcW w:w="2295" w:type="dxa"/>
            <w:shd w:val="clear" w:color="auto" w:fill="auto"/>
            <w:noWrap/>
            <w:vAlign w:val="center"/>
          </w:tcPr>
          <w:p w14:paraId="085CE5AB"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Izvor sredstava</w:t>
            </w:r>
          </w:p>
        </w:tc>
        <w:tc>
          <w:tcPr>
            <w:tcW w:w="7344" w:type="dxa"/>
            <w:gridSpan w:val="4"/>
            <w:shd w:val="clear" w:color="auto" w:fill="auto"/>
            <w:vAlign w:val="center"/>
          </w:tcPr>
          <w:p w14:paraId="6EE38E8F" w14:textId="77777777" w:rsidR="00747F7C" w:rsidRPr="00122047" w:rsidRDefault="00747F7C" w:rsidP="007D4F15">
            <w:pPr>
              <w:spacing w:after="0" w:line="240" w:lineRule="auto"/>
              <w:rPr>
                <w:rFonts w:asciiTheme="majorHAnsi" w:eastAsia="Times New Roman" w:hAnsiTheme="majorHAnsi" w:cstheme="majorHAnsi"/>
                <w:bCs/>
                <w:iCs/>
                <w:szCs w:val="24"/>
                <w:lang w:val="hr-HR" w:eastAsia="hr-HR"/>
              </w:rPr>
            </w:pPr>
            <w:r w:rsidRPr="00122047">
              <w:rPr>
                <w:rFonts w:asciiTheme="majorHAnsi" w:eastAsia="Times New Roman" w:hAnsiTheme="majorHAnsi" w:cstheme="majorHAnsi"/>
                <w:bCs/>
                <w:iCs/>
                <w:szCs w:val="24"/>
                <w:lang w:val="hr-HR" w:eastAsia="hr-HR"/>
              </w:rPr>
              <w:t>Državni proračun, EU sredstva i nacionalna sredstva koja nisu u državnom proračunu</w:t>
            </w:r>
          </w:p>
        </w:tc>
      </w:tr>
      <w:tr w:rsidR="00747F7C" w:rsidRPr="00454565" w14:paraId="49E36C93" w14:textId="77777777" w:rsidTr="007D4F15">
        <w:trPr>
          <w:trHeight w:val="292"/>
        </w:trPr>
        <w:tc>
          <w:tcPr>
            <w:tcW w:w="2295" w:type="dxa"/>
            <w:shd w:val="clear" w:color="auto" w:fill="auto"/>
            <w:noWrap/>
            <w:vAlign w:val="center"/>
          </w:tcPr>
          <w:p w14:paraId="1518A18A" w14:textId="77777777" w:rsidR="00747F7C" w:rsidRPr="00DF7D9C" w:rsidRDefault="00747F7C" w:rsidP="007D4F15">
            <w:pPr>
              <w:spacing w:after="0" w:line="240" w:lineRule="auto"/>
              <w:rPr>
                <w:rFonts w:asciiTheme="majorHAnsi" w:eastAsia="Times New Roman" w:hAnsiTheme="majorHAnsi" w:cstheme="majorHAnsi"/>
                <w:bCs/>
                <w:iCs/>
                <w:szCs w:val="24"/>
                <w:lang w:val="hr-HR" w:eastAsia="hr-HR"/>
              </w:rPr>
            </w:pPr>
            <w:r w:rsidRPr="00DF7D9C">
              <w:rPr>
                <w:rFonts w:asciiTheme="majorHAnsi" w:eastAsia="Times New Roman" w:hAnsiTheme="majorHAnsi" w:cstheme="majorHAnsi"/>
                <w:bCs/>
                <w:iCs/>
                <w:szCs w:val="24"/>
                <w:lang w:val="hr-HR" w:eastAsia="hr-HR"/>
              </w:rPr>
              <w:t>Rezultati provedbe</w:t>
            </w:r>
          </w:p>
        </w:tc>
        <w:tc>
          <w:tcPr>
            <w:tcW w:w="7344" w:type="dxa"/>
            <w:gridSpan w:val="4"/>
            <w:shd w:val="clear" w:color="auto" w:fill="auto"/>
            <w:vAlign w:val="center"/>
          </w:tcPr>
          <w:p w14:paraId="6CF9E56D" w14:textId="77777777" w:rsidR="00747F7C" w:rsidRPr="00DF7D9C" w:rsidRDefault="00747F7C" w:rsidP="007D4F15">
            <w:pPr>
              <w:spacing w:after="0" w:line="240" w:lineRule="auto"/>
              <w:rPr>
                <w:rFonts w:asciiTheme="majorHAnsi" w:eastAsia="Times New Roman" w:hAnsiTheme="majorHAnsi" w:cstheme="majorHAnsi"/>
                <w:bCs/>
                <w:iCs/>
                <w:color w:val="AEAAAA" w:themeColor="background2" w:themeShade="BF"/>
                <w:szCs w:val="24"/>
                <w:lang w:val="hr-HR" w:eastAsia="hr-HR"/>
              </w:rPr>
            </w:pPr>
            <w:r>
              <w:rPr>
                <w:rFonts w:asciiTheme="majorHAnsi" w:eastAsia="Times New Roman" w:hAnsiTheme="majorHAnsi" w:cstheme="majorHAnsi"/>
                <w:bCs/>
                <w:iCs/>
                <w:szCs w:val="24"/>
                <w:lang w:val="hr-HR" w:eastAsia="hr-HR"/>
              </w:rPr>
              <w:t xml:space="preserve">Cilj je većinom ispunjen te je daljnja provedba u tijeku. </w:t>
            </w:r>
          </w:p>
        </w:tc>
      </w:tr>
    </w:tbl>
    <w:p w14:paraId="34C9257C" w14:textId="33C7D623" w:rsidR="00963C39" w:rsidRDefault="00963C39" w:rsidP="00963C39">
      <w:pPr>
        <w:rPr>
          <w:lang w:val="hr-HR"/>
        </w:rPr>
      </w:pPr>
    </w:p>
    <w:p w14:paraId="146EC3D3" w14:textId="7465AD8F" w:rsidR="00634E19" w:rsidRDefault="00634E19" w:rsidP="00963C39">
      <w:pPr>
        <w:rPr>
          <w:lang w:val="hr-HR"/>
        </w:rPr>
      </w:pPr>
    </w:p>
    <w:p w14:paraId="7BC04B92" w14:textId="7BAE2D8F" w:rsidR="00634E19" w:rsidRDefault="00634E19" w:rsidP="00963C39">
      <w:pPr>
        <w:rPr>
          <w:lang w:val="hr-HR"/>
        </w:rPr>
      </w:pPr>
    </w:p>
    <w:p w14:paraId="6416C5F3" w14:textId="0471A0FB" w:rsidR="00634E19" w:rsidRDefault="00634E19" w:rsidP="00963C39">
      <w:pPr>
        <w:rPr>
          <w:lang w:val="hr-HR"/>
        </w:rPr>
      </w:pPr>
    </w:p>
    <w:p w14:paraId="16396B7E" w14:textId="179354EC" w:rsidR="00634E19" w:rsidRDefault="00634E19" w:rsidP="00963C39">
      <w:pPr>
        <w:rPr>
          <w:lang w:val="hr-HR"/>
        </w:rPr>
      </w:pPr>
    </w:p>
    <w:p w14:paraId="0A2D8E18" w14:textId="05E6CBD6" w:rsidR="00634E19" w:rsidRDefault="00634E19" w:rsidP="00963C39">
      <w:pPr>
        <w:rPr>
          <w:lang w:val="hr-HR"/>
        </w:rPr>
      </w:pPr>
    </w:p>
    <w:p w14:paraId="0226759C" w14:textId="57A0A609" w:rsidR="00634E19" w:rsidRDefault="00634E19" w:rsidP="00963C39">
      <w:pPr>
        <w:rPr>
          <w:lang w:val="hr-HR"/>
        </w:rPr>
      </w:pPr>
    </w:p>
    <w:p w14:paraId="490E939E" w14:textId="77777777" w:rsidR="00634E19" w:rsidRDefault="00634E19" w:rsidP="00963C39">
      <w:pPr>
        <w:rPr>
          <w:lang w:val="hr-HR"/>
        </w:rPr>
      </w:pPr>
    </w:p>
    <w:p w14:paraId="23AFD6F9" w14:textId="77777777" w:rsidR="003E3F0F" w:rsidRPr="00DF7D9C" w:rsidRDefault="003E3F0F" w:rsidP="008C1448">
      <w:pPr>
        <w:pStyle w:val="Heading2"/>
        <w:numPr>
          <w:ilvl w:val="1"/>
          <w:numId w:val="2"/>
        </w:numPr>
        <w:rPr>
          <w:color w:val="auto"/>
        </w:rPr>
      </w:pPr>
      <w:bookmarkStart w:id="24" w:name="_Toc89761125"/>
      <w:r w:rsidRPr="00DF7D9C">
        <w:rPr>
          <w:color w:val="auto"/>
        </w:rPr>
        <w:lastRenderedPageBreak/>
        <w:t>Strateški cilj br. 6: NIPP podržava druge važne politike i programe na nacionalnoj i međunarodnoj razini</w:t>
      </w:r>
      <w:bookmarkEnd w:id="24"/>
    </w:p>
    <w:p w14:paraId="2BD6C887" w14:textId="77777777" w:rsidR="003E3F0F" w:rsidRDefault="003E3F0F" w:rsidP="003E3F0F">
      <w:pPr>
        <w:rPr>
          <w:lang w:val="hr-HR"/>
        </w:rPr>
      </w:pPr>
    </w:p>
    <w:tbl>
      <w:tblPr>
        <w:tblW w:w="963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983"/>
        <w:gridCol w:w="4391"/>
        <w:gridCol w:w="567"/>
        <w:gridCol w:w="1276"/>
        <w:gridCol w:w="1417"/>
      </w:tblGrid>
      <w:tr w:rsidR="009903D1" w:rsidRPr="00765C4F" w14:paraId="70C261F0" w14:textId="77777777" w:rsidTr="0017506F">
        <w:trPr>
          <w:trHeight w:val="2944"/>
        </w:trPr>
        <w:tc>
          <w:tcPr>
            <w:tcW w:w="1983" w:type="dxa"/>
            <w:shd w:val="clear" w:color="auto" w:fill="auto"/>
            <w:noWrap/>
            <w:vAlign w:val="center"/>
          </w:tcPr>
          <w:p w14:paraId="69D7B41D"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Planirani operativni ciljevi</w:t>
            </w:r>
          </w:p>
        </w:tc>
        <w:tc>
          <w:tcPr>
            <w:tcW w:w="7651" w:type="dxa"/>
            <w:gridSpan w:val="4"/>
            <w:shd w:val="clear" w:color="auto" w:fill="auto"/>
            <w:vAlign w:val="center"/>
          </w:tcPr>
          <w:p w14:paraId="1325AAE8" w14:textId="77777777" w:rsidR="009903D1" w:rsidRPr="00765C4F" w:rsidRDefault="009903D1" w:rsidP="008C1448">
            <w:pPr>
              <w:numPr>
                <w:ilvl w:val="0"/>
                <w:numId w:val="7"/>
              </w:numPr>
              <w:spacing w:after="0" w:line="240" w:lineRule="auto"/>
              <w:ind w:left="312"/>
              <w:contextualSpacing/>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Pokrivenost svih NIPP tema prostornih podataka</w:t>
            </w:r>
          </w:p>
          <w:p w14:paraId="271A4F1D" w14:textId="77777777" w:rsidR="009903D1" w:rsidRPr="00765C4F" w:rsidRDefault="009903D1" w:rsidP="008C1448">
            <w:pPr>
              <w:numPr>
                <w:ilvl w:val="0"/>
                <w:numId w:val="7"/>
              </w:numPr>
              <w:spacing w:after="0" w:line="240" w:lineRule="auto"/>
              <w:ind w:left="312"/>
              <w:contextualSpacing/>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Sukladnost skupova podataka s Provedbenim pravilima</w:t>
            </w:r>
          </w:p>
          <w:p w14:paraId="3759D44B" w14:textId="77777777" w:rsidR="009903D1" w:rsidRPr="00765C4F" w:rsidRDefault="009903D1" w:rsidP="008C1448">
            <w:pPr>
              <w:numPr>
                <w:ilvl w:val="0"/>
                <w:numId w:val="7"/>
              </w:numPr>
              <w:spacing w:after="0" w:line="240" w:lineRule="auto"/>
              <w:ind w:left="312" w:right="703"/>
              <w:contextualSpacing/>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 xml:space="preserve">Postojanje </w:t>
            </w:r>
            <w:proofErr w:type="spellStart"/>
            <w:r w:rsidRPr="00765C4F">
              <w:rPr>
                <w:rFonts w:asciiTheme="majorHAnsi" w:eastAsia="Times New Roman" w:hAnsiTheme="majorHAnsi" w:cstheme="majorHAnsi"/>
                <w:bCs/>
                <w:iCs/>
                <w:szCs w:val="24"/>
                <w:lang w:val="hr-HR" w:eastAsia="hr-HR"/>
              </w:rPr>
              <w:t>metapodataka</w:t>
            </w:r>
            <w:proofErr w:type="spellEnd"/>
            <w:r w:rsidRPr="00765C4F">
              <w:rPr>
                <w:rFonts w:asciiTheme="majorHAnsi" w:eastAsia="Times New Roman" w:hAnsiTheme="majorHAnsi" w:cstheme="majorHAnsi"/>
                <w:bCs/>
                <w:iCs/>
                <w:szCs w:val="24"/>
                <w:lang w:val="hr-HR" w:eastAsia="hr-HR"/>
              </w:rPr>
              <w:t xml:space="preserve"> za skupove podataka i mrežne usluge te njihova sukladnost s INSPIRE Provedbenim pravilima</w:t>
            </w:r>
          </w:p>
          <w:p w14:paraId="0C320309" w14:textId="77777777" w:rsidR="009903D1" w:rsidRPr="00765C4F" w:rsidRDefault="009903D1" w:rsidP="008C1448">
            <w:pPr>
              <w:numPr>
                <w:ilvl w:val="0"/>
                <w:numId w:val="7"/>
              </w:numPr>
              <w:spacing w:after="0" w:line="240" w:lineRule="auto"/>
              <w:ind w:left="312"/>
              <w:contextualSpacing/>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Dostupnost mrežnih usluga pronalaženja, pregleda i preuzimanja te njihova sukladnost s INSPIRE Provedbenim pravilima</w:t>
            </w:r>
          </w:p>
          <w:p w14:paraId="75AB362D" w14:textId="77777777" w:rsidR="009903D1" w:rsidRPr="00765C4F" w:rsidRDefault="009903D1" w:rsidP="008C1448">
            <w:pPr>
              <w:numPr>
                <w:ilvl w:val="0"/>
                <w:numId w:val="7"/>
              </w:numPr>
              <w:spacing w:after="0" w:line="240" w:lineRule="auto"/>
              <w:ind w:left="312"/>
              <w:contextualSpacing/>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Izrađeno godišnje Izvješće o praćenju i trogodišnje Izvješće o uspostavi, održavanju i razvoju NIPP-a za Europsku komisiju</w:t>
            </w:r>
          </w:p>
          <w:p w14:paraId="444A483F" w14:textId="77777777" w:rsidR="009903D1" w:rsidRPr="00765C4F" w:rsidRDefault="009903D1" w:rsidP="008C1448">
            <w:pPr>
              <w:numPr>
                <w:ilvl w:val="0"/>
                <w:numId w:val="7"/>
              </w:numPr>
              <w:spacing w:after="0" w:line="240" w:lineRule="auto"/>
              <w:ind w:left="312"/>
              <w:contextualSpacing/>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Povezivanje NIPP-a i programskog okvira za e-Hrvatsku na upravljačkoj i operativnoj razini</w:t>
            </w:r>
          </w:p>
        </w:tc>
      </w:tr>
      <w:tr w:rsidR="009903D1" w:rsidRPr="00765C4F" w14:paraId="58285BA1" w14:textId="77777777" w:rsidTr="0017506F">
        <w:trPr>
          <w:trHeight w:val="292"/>
        </w:trPr>
        <w:tc>
          <w:tcPr>
            <w:tcW w:w="1983" w:type="dxa"/>
            <w:shd w:val="clear" w:color="auto" w:fill="auto"/>
            <w:noWrap/>
            <w:vAlign w:val="center"/>
          </w:tcPr>
          <w:p w14:paraId="6C343835"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Nadležna tijela</w:t>
            </w:r>
          </w:p>
        </w:tc>
        <w:tc>
          <w:tcPr>
            <w:tcW w:w="7651" w:type="dxa"/>
            <w:gridSpan w:val="4"/>
            <w:shd w:val="clear" w:color="auto" w:fill="auto"/>
            <w:vAlign w:val="center"/>
          </w:tcPr>
          <w:p w14:paraId="2A5D4B8E"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DGU (NKT) u suradnji sa subjektima sukladno Prilogu II. Strategije</w:t>
            </w:r>
          </w:p>
        </w:tc>
      </w:tr>
      <w:tr w:rsidR="009903D1" w:rsidRPr="00765C4F" w14:paraId="3F128BE7" w14:textId="77777777" w:rsidTr="0017506F">
        <w:trPr>
          <w:trHeight w:val="292"/>
        </w:trPr>
        <w:tc>
          <w:tcPr>
            <w:tcW w:w="1983" w:type="dxa"/>
            <w:vMerge w:val="restart"/>
            <w:shd w:val="clear" w:color="auto" w:fill="auto"/>
            <w:noWrap/>
            <w:vAlign w:val="center"/>
          </w:tcPr>
          <w:p w14:paraId="1F500F8C"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Pokazatelji</w:t>
            </w:r>
          </w:p>
        </w:tc>
        <w:tc>
          <w:tcPr>
            <w:tcW w:w="4958" w:type="dxa"/>
            <w:gridSpan w:val="2"/>
            <w:shd w:val="clear" w:color="auto" w:fill="auto"/>
            <w:vAlign w:val="center"/>
          </w:tcPr>
          <w:p w14:paraId="5D714274"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1276" w:type="dxa"/>
            <w:shd w:val="clear" w:color="auto" w:fill="auto"/>
            <w:vAlign w:val="center"/>
          </w:tcPr>
          <w:p w14:paraId="5D0F38C0" w14:textId="77777777" w:rsidR="009903D1" w:rsidRPr="00765C4F" w:rsidRDefault="0017506F"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Planirano</w:t>
            </w:r>
          </w:p>
        </w:tc>
        <w:tc>
          <w:tcPr>
            <w:tcW w:w="1417" w:type="dxa"/>
            <w:shd w:val="clear" w:color="auto" w:fill="auto"/>
            <w:vAlign w:val="center"/>
          </w:tcPr>
          <w:p w14:paraId="2C010B12"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Ostvareno</w:t>
            </w:r>
          </w:p>
        </w:tc>
      </w:tr>
      <w:tr w:rsidR="009903D1" w:rsidRPr="00765C4F" w14:paraId="379EEE06" w14:textId="77777777" w:rsidTr="0017506F">
        <w:trPr>
          <w:trHeight w:val="595"/>
        </w:trPr>
        <w:tc>
          <w:tcPr>
            <w:tcW w:w="1983" w:type="dxa"/>
            <w:vMerge/>
            <w:shd w:val="clear" w:color="auto" w:fill="auto"/>
            <w:noWrap/>
            <w:vAlign w:val="center"/>
          </w:tcPr>
          <w:p w14:paraId="458DF901"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72967E44"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Pokrivenost NIPP tema skupovima podataka (%)</w:t>
            </w:r>
          </w:p>
        </w:tc>
        <w:tc>
          <w:tcPr>
            <w:tcW w:w="1276" w:type="dxa"/>
            <w:shd w:val="clear" w:color="auto" w:fill="auto"/>
            <w:vAlign w:val="center"/>
          </w:tcPr>
          <w:p w14:paraId="1276EDEB" w14:textId="77777777" w:rsidR="009903D1" w:rsidRPr="00765C4F" w:rsidRDefault="009903D1" w:rsidP="007D4F15">
            <w:pPr>
              <w:spacing w:after="0" w:line="240" w:lineRule="auto"/>
              <w:jc w:val="center"/>
            </w:pPr>
            <w:r w:rsidRPr="00765C4F">
              <w:t>100</w:t>
            </w:r>
          </w:p>
        </w:tc>
        <w:tc>
          <w:tcPr>
            <w:tcW w:w="1417" w:type="dxa"/>
            <w:shd w:val="clear" w:color="auto" w:fill="auto"/>
            <w:vAlign w:val="center"/>
          </w:tcPr>
          <w:p w14:paraId="7792038B"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100</w:t>
            </w:r>
          </w:p>
        </w:tc>
      </w:tr>
      <w:tr w:rsidR="009903D1" w:rsidRPr="00765C4F" w14:paraId="08E16690" w14:textId="77777777" w:rsidTr="0017506F">
        <w:trPr>
          <w:trHeight w:val="590"/>
        </w:trPr>
        <w:tc>
          <w:tcPr>
            <w:tcW w:w="1983" w:type="dxa"/>
            <w:vMerge/>
            <w:shd w:val="clear" w:color="auto" w:fill="auto"/>
            <w:noWrap/>
            <w:vAlign w:val="center"/>
          </w:tcPr>
          <w:p w14:paraId="671E1FD6"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09B855C6"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 xml:space="preserve">Sukladnost skupova podataka s INSPIRE-om (%) </w:t>
            </w:r>
          </w:p>
        </w:tc>
        <w:tc>
          <w:tcPr>
            <w:tcW w:w="1276" w:type="dxa"/>
            <w:shd w:val="clear" w:color="auto" w:fill="auto"/>
            <w:vAlign w:val="center"/>
          </w:tcPr>
          <w:p w14:paraId="7FBF3829" w14:textId="77777777" w:rsidR="009903D1" w:rsidRPr="00765C4F" w:rsidRDefault="009903D1" w:rsidP="007D4F15">
            <w:pPr>
              <w:spacing w:after="0" w:line="240" w:lineRule="auto"/>
              <w:jc w:val="center"/>
            </w:pPr>
            <w:r w:rsidRPr="00765C4F">
              <w:t>95</w:t>
            </w:r>
          </w:p>
        </w:tc>
        <w:tc>
          <w:tcPr>
            <w:tcW w:w="1417" w:type="dxa"/>
            <w:shd w:val="clear" w:color="auto" w:fill="auto"/>
            <w:vAlign w:val="center"/>
          </w:tcPr>
          <w:p w14:paraId="65DA75AD"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13</w:t>
            </w:r>
          </w:p>
        </w:tc>
      </w:tr>
      <w:tr w:rsidR="009903D1" w:rsidRPr="00765C4F" w14:paraId="74C44065" w14:textId="77777777" w:rsidTr="0017506F">
        <w:trPr>
          <w:trHeight w:val="590"/>
        </w:trPr>
        <w:tc>
          <w:tcPr>
            <w:tcW w:w="1983" w:type="dxa"/>
            <w:vMerge/>
            <w:shd w:val="clear" w:color="auto" w:fill="auto"/>
            <w:noWrap/>
            <w:vAlign w:val="center"/>
          </w:tcPr>
          <w:p w14:paraId="4A284754"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06453105"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 xml:space="preserve">Sukladnost </w:t>
            </w:r>
            <w:proofErr w:type="spellStart"/>
            <w:r w:rsidRPr="00FC6A90">
              <w:rPr>
                <w:rFonts w:asciiTheme="majorHAnsi" w:eastAsia="Times New Roman" w:hAnsiTheme="majorHAnsi" w:cstheme="majorHAnsi"/>
                <w:bCs/>
                <w:iCs/>
                <w:szCs w:val="24"/>
                <w:lang w:val="hr-HR" w:eastAsia="hr-HR"/>
              </w:rPr>
              <w:t>metapodataka</w:t>
            </w:r>
            <w:proofErr w:type="spellEnd"/>
            <w:r w:rsidRPr="00FC6A90">
              <w:rPr>
                <w:rFonts w:asciiTheme="majorHAnsi" w:eastAsia="Times New Roman" w:hAnsiTheme="majorHAnsi" w:cstheme="majorHAnsi"/>
                <w:bCs/>
                <w:iCs/>
                <w:szCs w:val="24"/>
                <w:lang w:val="hr-HR" w:eastAsia="hr-HR"/>
              </w:rPr>
              <w:t xml:space="preserve"> s INSPIRE-om (%)</w:t>
            </w:r>
          </w:p>
        </w:tc>
        <w:tc>
          <w:tcPr>
            <w:tcW w:w="1276" w:type="dxa"/>
            <w:shd w:val="clear" w:color="auto" w:fill="auto"/>
            <w:vAlign w:val="center"/>
          </w:tcPr>
          <w:p w14:paraId="27763594" w14:textId="77777777" w:rsidR="009903D1" w:rsidRPr="00765C4F" w:rsidRDefault="009903D1" w:rsidP="007D4F15">
            <w:pPr>
              <w:spacing w:after="0" w:line="240" w:lineRule="auto"/>
              <w:jc w:val="center"/>
            </w:pPr>
            <w:r w:rsidRPr="00765C4F">
              <w:t>100</w:t>
            </w:r>
          </w:p>
        </w:tc>
        <w:tc>
          <w:tcPr>
            <w:tcW w:w="1417" w:type="dxa"/>
            <w:shd w:val="clear" w:color="auto" w:fill="auto"/>
            <w:vAlign w:val="center"/>
          </w:tcPr>
          <w:p w14:paraId="7CF24168"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78</w:t>
            </w:r>
          </w:p>
        </w:tc>
      </w:tr>
      <w:tr w:rsidR="009903D1" w:rsidRPr="00765C4F" w14:paraId="5FCCBF3C" w14:textId="77777777" w:rsidTr="0017506F">
        <w:trPr>
          <w:trHeight w:val="590"/>
        </w:trPr>
        <w:tc>
          <w:tcPr>
            <w:tcW w:w="1983" w:type="dxa"/>
            <w:vMerge/>
            <w:shd w:val="clear" w:color="auto" w:fill="auto"/>
            <w:noWrap/>
            <w:vAlign w:val="center"/>
          </w:tcPr>
          <w:p w14:paraId="27E74839"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6ECA6AFA"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 xml:space="preserve">Skupovi podataka koji pružaju usluge pregleda (%) </w:t>
            </w:r>
          </w:p>
        </w:tc>
        <w:tc>
          <w:tcPr>
            <w:tcW w:w="1276" w:type="dxa"/>
            <w:shd w:val="clear" w:color="auto" w:fill="auto"/>
            <w:vAlign w:val="center"/>
          </w:tcPr>
          <w:p w14:paraId="6676E278" w14:textId="77777777" w:rsidR="009903D1" w:rsidRPr="00765C4F" w:rsidRDefault="009903D1" w:rsidP="007D4F15">
            <w:pPr>
              <w:spacing w:after="0" w:line="240" w:lineRule="auto"/>
              <w:jc w:val="center"/>
            </w:pPr>
            <w:r w:rsidRPr="00765C4F">
              <w:t>90</w:t>
            </w:r>
          </w:p>
        </w:tc>
        <w:tc>
          <w:tcPr>
            <w:tcW w:w="1417" w:type="dxa"/>
            <w:shd w:val="clear" w:color="auto" w:fill="auto"/>
            <w:vAlign w:val="center"/>
          </w:tcPr>
          <w:p w14:paraId="79DAF3ED"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16</w:t>
            </w:r>
          </w:p>
        </w:tc>
      </w:tr>
      <w:tr w:rsidR="009903D1" w:rsidRPr="00765C4F" w14:paraId="33885218" w14:textId="77777777" w:rsidTr="0017506F">
        <w:trPr>
          <w:trHeight w:val="590"/>
        </w:trPr>
        <w:tc>
          <w:tcPr>
            <w:tcW w:w="1983" w:type="dxa"/>
            <w:vMerge/>
            <w:shd w:val="clear" w:color="auto" w:fill="auto"/>
            <w:noWrap/>
            <w:vAlign w:val="center"/>
          </w:tcPr>
          <w:p w14:paraId="4CD14F9E"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14E82CAE"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 xml:space="preserve">Skupovi podataka koji pružaju usluge preuzimanja (%) </w:t>
            </w:r>
          </w:p>
        </w:tc>
        <w:tc>
          <w:tcPr>
            <w:tcW w:w="1276" w:type="dxa"/>
            <w:shd w:val="clear" w:color="auto" w:fill="auto"/>
            <w:vAlign w:val="center"/>
          </w:tcPr>
          <w:p w14:paraId="2A06BF3E" w14:textId="77777777" w:rsidR="009903D1" w:rsidRPr="00765C4F" w:rsidRDefault="009903D1" w:rsidP="007D4F15">
            <w:pPr>
              <w:spacing w:after="0" w:line="240" w:lineRule="auto"/>
              <w:jc w:val="center"/>
            </w:pPr>
            <w:r w:rsidRPr="00765C4F">
              <w:t>90</w:t>
            </w:r>
          </w:p>
        </w:tc>
        <w:tc>
          <w:tcPr>
            <w:tcW w:w="1417" w:type="dxa"/>
            <w:shd w:val="clear" w:color="auto" w:fill="auto"/>
            <w:vAlign w:val="center"/>
          </w:tcPr>
          <w:p w14:paraId="5FE3718F"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6</w:t>
            </w:r>
          </w:p>
        </w:tc>
      </w:tr>
      <w:tr w:rsidR="009903D1" w:rsidRPr="00765C4F" w14:paraId="6DC16361" w14:textId="77777777" w:rsidTr="0017506F">
        <w:trPr>
          <w:trHeight w:val="590"/>
        </w:trPr>
        <w:tc>
          <w:tcPr>
            <w:tcW w:w="1983" w:type="dxa"/>
            <w:vMerge/>
            <w:shd w:val="clear" w:color="auto" w:fill="auto"/>
            <w:noWrap/>
            <w:vAlign w:val="center"/>
          </w:tcPr>
          <w:p w14:paraId="0FC21FB7"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25475D6A"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Sukladnost mrežnih usluga s INSPIRE zahtjevima (%)</w:t>
            </w:r>
          </w:p>
        </w:tc>
        <w:tc>
          <w:tcPr>
            <w:tcW w:w="1276" w:type="dxa"/>
            <w:shd w:val="clear" w:color="auto" w:fill="auto"/>
            <w:vAlign w:val="center"/>
          </w:tcPr>
          <w:p w14:paraId="3DD76C3F" w14:textId="77777777" w:rsidR="009903D1" w:rsidRPr="00765C4F" w:rsidRDefault="009903D1" w:rsidP="007D4F15">
            <w:pPr>
              <w:spacing w:after="0" w:line="240" w:lineRule="auto"/>
              <w:jc w:val="center"/>
            </w:pPr>
            <w:r w:rsidRPr="00765C4F">
              <w:t>65</w:t>
            </w:r>
          </w:p>
        </w:tc>
        <w:tc>
          <w:tcPr>
            <w:tcW w:w="1417" w:type="dxa"/>
            <w:shd w:val="clear" w:color="auto" w:fill="auto"/>
            <w:vAlign w:val="center"/>
          </w:tcPr>
          <w:p w14:paraId="0C608455"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37</w:t>
            </w:r>
          </w:p>
        </w:tc>
      </w:tr>
      <w:tr w:rsidR="009903D1" w:rsidRPr="00765C4F" w14:paraId="260D9BAC" w14:textId="77777777" w:rsidTr="0017506F">
        <w:trPr>
          <w:trHeight w:val="590"/>
        </w:trPr>
        <w:tc>
          <w:tcPr>
            <w:tcW w:w="1983" w:type="dxa"/>
            <w:vMerge/>
            <w:shd w:val="clear" w:color="auto" w:fill="auto"/>
            <w:noWrap/>
            <w:vAlign w:val="center"/>
          </w:tcPr>
          <w:p w14:paraId="2F0E6A6A"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571526D1"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Pripremljena godišnja izvješća o praćenju (cilj = 1 svake godine)</w:t>
            </w:r>
          </w:p>
        </w:tc>
        <w:tc>
          <w:tcPr>
            <w:tcW w:w="1276" w:type="dxa"/>
            <w:shd w:val="clear" w:color="auto" w:fill="auto"/>
            <w:vAlign w:val="center"/>
          </w:tcPr>
          <w:p w14:paraId="617F169C" w14:textId="77777777" w:rsidR="009903D1" w:rsidRPr="00765C4F" w:rsidRDefault="009903D1" w:rsidP="007D4F15">
            <w:pPr>
              <w:spacing w:after="0" w:line="240" w:lineRule="auto"/>
              <w:jc w:val="center"/>
            </w:pPr>
            <w:r w:rsidRPr="00765C4F">
              <w:t>7</w:t>
            </w:r>
          </w:p>
        </w:tc>
        <w:tc>
          <w:tcPr>
            <w:tcW w:w="1417" w:type="dxa"/>
            <w:shd w:val="clear" w:color="auto" w:fill="auto"/>
            <w:vAlign w:val="center"/>
          </w:tcPr>
          <w:p w14:paraId="63935415" w14:textId="77777777" w:rsidR="009903D1" w:rsidRPr="00765C4F" w:rsidRDefault="00024D34"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7</w:t>
            </w:r>
          </w:p>
        </w:tc>
      </w:tr>
      <w:tr w:rsidR="009903D1" w:rsidRPr="00765C4F" w14:paraId="310135E1" w14:textId="77777777" w:rsidTr="0017506F">
        <w:trPr>
          <w:trHeight w:val="590"/>
        </w:trPr>
        <w:tc>
          <w:tcPr>
            <w:tcW w:w="1983" w:type="dxa"/>
            <w:vMerge/>
            <w:shd w:val="clear" w:color="auto" w:fill="auto"/>
            <w:noWrap/>
            <w:vAlign w:val="center"/>
          </w:tcPr>
          <w:p w14:paraId="7319DA7E"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41DFF8C7"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Pripremljena trogodišnja izvješća (cilj = 1 svake 3 godine)</w:t>
            </w:r>
          </w:p>
        </w:tc>
        <w:tc>
          <w:tcPr>
            <w:tcW w:w="1276" w:type="dxa"/>
            <w:shd w:val="clear" w:color="auto" w:fill="auto"/>
            <w:vAlign w:val="center"/>
          </w:tcPr>
          <w:p w14:paraId="4857BE70" w14:textId="77777777" w:rsidR="009903D1" w:rsidRPr="00765C4F" w:rsidRDefault="009903D1" w:rsidP="007D4F15">
            <w:pPr>
              <w:spacing w:after="0" w:line="240" w:lineRule="auto"/>
              <w:jc w:val="center"/>
            </w:pPr>
            <w:r w:rsidRPr="00765C4F">
              <w:t>2</w:t>
            </w:r>
          </w:p>
        </w:tc>
        <w:tc>
          <w:tcPr>
            <w:tcW w:w="1417" w:type="dxa"/>
            <w:shd w:val="clear" w:color="auto" w:fill="auto"/>
            <w:vAlign w:val="center"/>
          </w:tcPr>
          <w:p w14:paraId="6931A7DA" w14:textId="77777777" w:rsidR="009903D1" w:rsidRPr="00765C4F" w:rsidRDefault="00024D34"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2</w:t>
            </w:r>
          </w:p>
        </w:tc>
      </w:tr>
      <w:tr w:rsidR="009903D1" w:rsidRPr="00765C4F" w14:paraId="19026C0B" w14:textId="77777777" w:rsidTr="0017506F">
        <w:trPr>
          <w:trHeight w:val="590"/>
        </w:trPr>
        <w:tc>
          <w:tcPr>
            <w:tcW w:w="1983" w:type="dxa"/>
            <w:vMerge/>
            <w:shd w:val="clear" w:color="auto" w:fill="auto"/>
            <w:noWrap/>
            <w:vAlign w:val="center"/>
          </w:tcPr>
          <w:p w14:paraId="167CD0DB"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4D652C69"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 xml:space="preserve">Predstavnici NIPP-a u tijelima e-Hrvatska </w:t>
            </w:r>
          </w:p>
        </w:tc>
        <w:tc>
          <w:tcPr>
            <w:tcW w:w="1276" w:type="dxa"/>
            <w:shd w:val="clear" w:color="auto" w:fill="auto"/>
            <w:vAlign w:val="center"/>
          </w:tcPr>
          <w:p w14:paraId="3D65A398" w14:textId="77777777" w:rsidR="009903D1" w:rsidRPr="00765C4F" w:rsidRDefault="009903D1" w:rsidP="007D4F15">
            <w:pPr>
              <w:spacing w:after="0" w:line="240" w:lineRule="auto"/>
              <w:jc w:val="center"/>
            </w:pPr>
            <w:r w:rsidRPr="00765C4F">
              <w:t>2</w:t>
            </w:r>
          </w:p>
        </w:tc>
        <w:tc>
          <w:tcPr>
            <w:tcW w:w="1417" w:type="dxa"/>
            <w:shd w:val="clear" w:color="auto" w:fill="auto"/>
            <w:vAlign w:val="center"/>
          </w:tcPr>
          <w:p w14:paraId="7F41C3D3"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0</w:t>
            </w:r>
          </w:p>
        </w:tc>
      </w:tr>
      <w:tr w:rsidR="009903D1" w:rsidRPr="00765C4F" w14:paraId="7CB5A801" w14:textId="77777777" w:rsidTr="0017506F">
        <w:trPr>
          <w:trHeight w:val="590"/>
        </w:trPr>
        <w:tc>
          <w:tcPr>
            <w:tcW w:w="1983" w:type="dxa"/>
            <w:vMerge/>
            <w:shd w:val="clear" w:color="auto" w:fill="auto"/>
            <w:noWrap/>
            <w:vAlign w:val="center"/>
          </w:tcPr>
          <w:p w14:paraId="0CF7952D"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11229526"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 xml:space="preserve">Predstavnici e-Hrvatske u tijelima NIPP-a </w:t>
            </w:r>
          </w:p>
        </w:tc>
        <w:tc>
          <w:tcPr>
            <w:tcW w:w="1276" w:type="dxa"/>
            <w:shd w:val="clear" w:color="auto" w:fill="auto"/>
            <w:vAlign w:val="center"/>
          </w:tcPr>
          <w:p w14:paraId="76C09650" w14:textId="77777777" w:rsidR="009903D1" w:rsidRPr="00765C4F" w:rsidRDefault="009903D1" w:rsidP="007D4F15">
            <w:pPr>
              <w:spacing w:after="0" w:line="240" w:lineRule="auto"/>
              <w:jc w:val="center"/>
            </w:pPr>
            <w:r w:rsidRPr="00765C4F">
              <w:t>4</w:t>
            </w:r>
          </w:p>
        </w:tc>
        <w:tc>
          <w:tcPr>
            <w:tcW w:w="1417" w:type="dxa"/>
            <w:shd w:val="clear" w:color="auto" w:fill="auto"/>
            <w:vAlign w:val="center"/>
          </w:tcPr>
          <w:p w14:paraId="55536E27"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1</w:t>
            </w:r>
          </w:p>
        </w:tc>
      </w:tr>
      <w:tr w:rsidR="009903D1" w:rsidRPr="00765C4F" w14:paraId="72DE9742" w14:textId="77777777" w:rsidTr="0017506F">
        <w:trPr>
          <w:trHeight w:val="590"/>
        </w:trPr>
        <w:tc>
          <w:tcPr>
            <w:tcW w:w="1983" w:type="dxa"/>
            <w:vMerge/>
            <w:shd w:val="clear" w:color="auto" w:fill="auto"/>
            <w:noWrap/>
            <w:vAlign w:val="center"/>
          </w:tcPr>
          <w:p w14:paraId="5FFB2666"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p>
        </w:tc>
        <w:tc>
          <w:tcPr>
            <w:tcW w:w="4958" w:type="dxa"/>
            <w:gridSpan w:val="2"/>
            <w:shd w:val="clear" w:color="auto" w:fill="auto"/>
            <w:vAlign w:val="center"/>
          </w:tcPr>
          <w:p w14:paraId="40FCF098" w14:textId="77777777" w:rsidR="009903D1" w:rsidRPr="00FC6A90" w:rsidRDefault="009903D1" w:rsidP="008C1448">
            <w:pPr>
              <w:numPr>
                <w:ilvl w:val="0"/>
                <w:numId w:val="15"/>
              </w:numPr>
              <w:contextualSpacing/>
              <w:rPr>
                <w:rFonts w:asciiTheme="majorHAnsi" w:eastAsia="Times New Roman" w:hAnsiTheme="majorHAnsi" w:cstheme="majorHAnsi"/>
                <w:bCs/>
                <w:iCs/>
                <w:szCs w:val="24"/>
                <w:lang w:val="hr-HR" w:eastAsia="hr-HR"/>
              </w:rPr>
            </w:pPr>
            <w:r w:rsidRPr="00FC6A90">
              <w:rPr>
                <w:rFonts w:asciiTheme="majorHAnsi" w:eastAsia="Times New Roman" w:hAnsiTheme="majorHAnsi" w:cstheme="majorHAnsi"/>
                <w:bCs/>
                <w:iCs/>
                <w:szCs w:val="24"/>
                <w:lang w:val="hr-HR" w:eastAsia="hr-HR"/>
              </w:rPr>
              <w:t>Broj podnesenih zahtjeva za sufinanciranjem u okviru Akcijskog plana e-Hrvatska 2020 (cilj = 10 u 4 godine)</w:t>
            </w:r>
          </w:p>
        </w:tc>
        <w:tc>
          <w:tcPr>
            <w:tcW w:w="1276" w:type="dxa"/>
            <w:shd w:val="clear" w:color="auto" w:fill="auto"/>
            <w:vAlign w:val="center"/>
          </w:tcPr>
          <w:p w14:paraId="42A6D361" w14:textId="77777777" w:rsidR="009903D1" w:rsidRPr="00765C4F" w:rsidRDefault="009903D1" w:rsidP="007D4F15">
            <w:pPr>
              <w:spacing w:after="0" w:line="240" w:lineRule="auto"/>
              <w:jc w:val="center"/>
            </w:pPr>
            <w:r w:rsidRPr="00765C4F">
              <w:t>10</w:t>
            </w:r>
          </w:p>
        </w:tc>
        <w:tc>
          <w:tcPr>
            <w:tcW w:w="1417" w:type="dxa"/>
            <w:shd w:val="clear" w:color="auto" w:fill="auto"/>
            <w:vAlign w:val="center"/>
          </w:tcPr>
          <w:p w14:paraId="15081A1D"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Pr>
                <w:rFonts w:asciiTheme="majorHAnsi" w:eastAsia="Times New Roman" w:hAnsiTheme="majorHAnsi" w:cstheme="majorHAnsi"/>
                <w:bCs/>
                <w:iCs/>
                <w:szCs w:val="24"/>
                <w:lang w:val="hr-HR" w:eastAsia="hr-HR"/>
              </w:rPr>
              <w:t>8</w:t>
            </w:r>
          </w:p>
        </w:tc>
      </w:tr>
      <w:tr w:rsidR="009903D1" w:rsidRPr="00765C4F" w14:paraId="41645FC0" w14:textId="77777777" w:rsidTr="0017506F">
        <w:trPr>
          <w:trHeight w:val="1266"/>
        </w:trPr>
        <w:tc>
          <w:tcPr>
            <w:tcW w:w="1983" w:type="dxa"/>
            <w:shd w:val="clear" w:color="auto" w:fill="auto"/>
            <w:noWrap/>
            <w:vAlign w:val="center"/>
          </w:tcPr>
          <w:p w14:paraId="605DBF2D"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Provedene aktivnosti</w:t>
            </w:r>
          </w:p>
        </w:tc>
        <w:tc>
          <w:tcPr>
            <w:tcW w:w="7651" w:type="dxa"/>
            <w:gridSpan w:val="4"/>
            <w:shd w:val="clear" w:color="auto" w:fill="auto"/>
            <w:vAlign w:val="center"/>
          </w:tcPr>
          <w:p w14:paraId="077C1976" w14:textId="5DD26260" w:rsidR="009903D1" w:rsidRDefault="009903D1" w:rsidP="00233277">
            <w:pPr>
              <w:widowControl w:val="0"/>
              <w:spacing w:after="0" w:line="240" w:lineRule="auto"/>
              <w:jc w:val="both"/>
              <w:rPr>
                <w:rFonts w:asciiTheme="majorHAnsi" w:eastAsia="Times New Roman" w:hAnsiTheme="majorHAnsi" w:cstheme="majorHAnsi"/>
                <w:szCs w:val="24"/>
                <w:lang w:val="hr-HR"/>
              </w:rPr>
            </w:pPr>
            <w:r w:rsidRPr="00765C4F">
              <w:rPr>
                <w:rFonts w:asciiTheme="majorHAnsi" w:eastAsia="Times New Roman" w:hAnsiTheme="majorHAnsi" w:cstheme="majorHAnsi"/>
                <w:szCs w:val="24"/>
                <w:lang w:val="hr-HR"/>
              </w:rPr>
              <w:t xml:space="preserve">Prema Direktivi INSPIRE </w:t>
            </w:r>
            <w:r w:rsidRPr="00765C4F">
              <w:rPr>
                <w:rFonts w:asciiTheme="majorHAnsi" w:eastAsia="Times New Roman" w:hAnsiTheme="majorHAnsi" w:cstheme="majorHAnsi"/>
                <w:lang w:val="hr-HR"/>
              </w:rPr>
              <w:t>(EZ/2007/2)</w:t>
            </w:r>
            <w:r w:rsidRPr="00765C4F">
              <w:rPr>
                <w:rFonts w:asciiTheme="majorHAnsi" w:eastAsia="Times New Roman" w:hAnsiTheme="majorHAnsi" w:cstheme="majorHAnsi"/>
                <w:szCs w:val="24"/>
                <w:lang w:val="hr-HR"/>
              </w:rPr>
              <w:t xml:space="preserve"> potrebno je da skupovi podataka pokrivaju sve teme koje su njome definirane. Budući da je Direktiva INSPIRE prenesena u hrvatsko zakonodavstvo Zakonom o NIPP-u (NN 56/13, 52/18, 50/20), njime su preuzete sve 34 teme uz dodatno definiranu temu specifičnu za Republiku Hrvatsku – Minski sumnjiva područja. Skupovi podataka koji se pružaju u skladu s Direktivom INSPIRE </w:t>
            </w:r>
            <w:r w:rsidRPr="00765C4F">
              <w:rPr>
                <w:rFonts w:asciiTheme="majorHAnsi" w:eastAsia="Times New Roman" w:hAnsiTheme="majorHAnsi" w:cstheme="majorHAnsi"/>
                <w:lang w:val="hr-HR"/>
              </w:rPr>
              <w:lastRenderedPageBreak/>
              <w:t>(EZ/2007/2)</w:t>
            </w:r>
            <w:r w:rsidRPr="00765C4F">
              <w:rPr>
                <w:rFonts w:asciiTheme="majorHAnsi" w:eastAsia="Times New Roman" w:hAnsiTheme="majorHAnsi" w:cstheme="majorHAnsi"/>
                <w:szCs w:val="24"/>
                <w:lang w:val="hr-HR"/>
              </w:rPr>
              <w:t xml:space="preserve"> navedeni su u Registru izvora prostornih podataka NIPP-a, kao i u Katalogu </w:t>
            </w:r>
            <w:proofErr w:type="spellStart"/>
            <w:r w:rsidRPr="00765C4F">
              <w:rPr>
                <w:rFonts w:asciiTheme="majorHAnsi" w:eastAsia="Times New Roman" w:hAnsiTheme="majorHAnsi" w:cstheme="majorHAnsi"/>
                <w:szCs w:val="24"/>
                <w:lang w:val="hr-HR"/>
              </w:rPr>
              <w:t>metapodataka</w:t>
            </w:r>
            <w:proofErr w:type="spellEnd"/>
            <w:r w:rsidRPr="00765C4F">
              <w:rPr>
                <w:rFonts w:asciiTheme="majorHAnsi" w:eastAsia="Times New Roman" w:hAnsiTheme="majorHAnsi" w:cstheme="majorHAnsi"/>
                <w:szCs w:val="24"/>
                <w:lang w:val="hr-HR"/>
              </w:rPr>
              <w:t xml:space="preserve"> na </w:t>
            </w:r>
            <w:proofErr w:type="spellStart"/>
            <w:r w:rsidRPr="00765C4F">
              <w:rPr>
                <w:rFonts w:asciiTheme="majorHAnsi" w:eastAsia="Times New Roman" w:hAnsiTheme="majorHAnsi" w:cstheme="majorHAnsi"/>
                <w:szCs w:val="24"/>
                <w:lang w:val="hr-HR"/>
              </w:rPr>
              <w:t>Geoportalu</w:t>
            </w:r>
            <w:proofErr w:type="spellEnd"/>
            <w:r w:rsidRPr="00765C4F">
              <w:rPr>
                <w:rFonts w:asciiTheme="majorHAnsi" w:eastAsia="Times New Roman" w:hAnsiTheme="majorHAnsi" w:cstheme="majorHAnsi"/>
                <w:szCs w:val="24"/>
                <w:lang w:val="hr-HR"/>
              </w:rPr>
              <w:t xml:space="preserve"> NIPP-a te je vidljivo da prijavljeni skupovi danas pokrivaju sve teme. Prema stanju iz ožujka 2017. nedostajali su skupovi podataka za jednu temu – </w:t>
            </w:r>
            <w:proofErr w:type="spellStart"/>
            <w:r w:rsidRPr="00765C4F">
              <w:rPr>
                <w:rFonts w:asciiTheme="majorHAnsi" w:eastAsia="Times New Roman" w:hAnsiTheme="majorHAnsi" w:cstheme="majorHAnsi"/>
                <w:szCs w:val="24"/>
                <w:lang w:val="hr-HR"/>
              </w:rPr>
              <w:t>Biogeografske</w:t>
            </w:r>
            <w:proofErr w:type="spellEnd"/>
            <w:r w:rsidRPr="00765C4F">
              <w:rPr>
                <w:rFonts w:asciiTheme="majorHAnsi" w:eastAsia="Times New Roman" w:hAnsiTheme="majorHAnsi" w:cstheme="majorHAnsi"/>
                <w:szCs w:val="24"/>
                <w:lang w:val="hr-HR"/>
              </w:rPr>
              <w:t xml:space="preserve"> regije. Prijavom skupa </w:t>
            </w:r>
            <w:proofErr w:type="spellStart"/>
            <w:r w:rsidRPr="00765C4F">
              <w:rPr>
                <w:rFonts w:asciiTheme="majorHAnsi" w:eastAsia="Times New Roman" w:hAnsiTheme="majorHAnsi" w:cstheme="majorHAnsi"/>
                <w:szCs w:val="24"/>
                <w:lang w:val="hr-HR"/>
              </w:rPr>
              <w:t>Biogeografske</w:t>
            </w:r>
            <w:proofErr w:type="spellEnd"/>
            <w:r w:rsidRPr="00765C4F">
              <w:rPr>
                <w:rFonts w:asciiTheme="majorHAnsi" w:eastAsia="Times New Roman" w:hAnsiTheme="majorHAnsi" w:cstheme="majorHAnsi"/>
                <w:szCs w:val="24"/>
                <w:lang w:val="hr-HR"/>
              </w:rPr>
              <w:t xml:space="preserve"> regije i pripadajućim uslugama preuzimanja i pregleda Ministarstva gospodarstva i održivog razvoja, pokriveno je svih 35 tema određenih Zakonom o NIPP-u</w:t>
            </w:r>
            <w:r w:rsidR="00C43CE4">
              <w:rPr>
                <w:rFonts w:asciiTheme="majorHAnsi" w:eastAsia="Times New Roman" w:hAnsiTheme="majorHAnsi" w:cstheme="majorHAnsi"/>
                <w:szCs w:val="24"/>
                <w:lang w:val="hr-HR"/>
              </w:rPr>
              <w:t>.</w:t>
            </w:r>
          </w:p>
          <w:p w14:paraId="2F590802" w14:textId="77777777" w:rsidR="00FC5FCF" w:rsidRPr="00765C4F" w:rsidRDefault="00FC5FCF" w:rsidP="00233277">
            <w:pPr>
              <w:widowControl w:val="0"/>
              <w:spacing w:after="0" w:line="240" w:lineRule="auto"/>
              <w:jc w:val="both"/>
              <w:rPr>
                <w:rFonts w:asciiTheme="majorHAnsi" w:eastAsia="Times New Roman" w:hAnsiTheme="majorHAnsi" w:cstheme="majorHAnsi"/>
                <w:szCs w:val="24"/>
                <w:lang w:val="hr-HR"/>
              </w:rPr>
            </w:pPr>
          </w:p>
          <w:p w14:paraId="3EE97DDD" w14:textId="716EE33B" w:rsidR="009903D1" w:rsidRDefault="00B6656A" w:rsidP="00233277">
            <w:pPr>
              <w:widowControl w:val="0"/>
              <w:spacing w:after="0" w:line="240" w:lineRule="auto"/>
              <w:jc w:val="both"/>
              <w:rPr>
                <w:rFonts w:asciiTheme="majorHAnsi" w:eastAsia="Times New Roman" w:hAnsiTheme="majorHAnsi" w:cstheme="majorHAnsi"/>
                <w:szCs w:val="24"/>
                <w:lang w:val="hr-HR"/>
              </w:rPr>
            </w:pPr>
            <w:r>
              <w:rPr>
                <w:rFonts w:asciiTheme="majorHAnsi" w:eastAsia="Times New Roman" w:hAnsiTheme="majorHAnsi" w:cstheme="majorHAnsi"/>
                <w:szCs w:val="24"/>
                <w:lang w:val="hr-HR"/>
              </w:rPr>
              <w:t xml:space="preserve">U okviru aktivnosti ovog cilja </w:t>
            </w:r>
            <w:r w:rsidR="00BA4E3D">
              <w:rPr>
                <w:rFonts w:asciiTheme="majorHAnsi" w:eastAsia="Times New Roman" w:hAnsiTheme="majorHAnsi" w:cstheme="majorHAnsi"/>
                <w:szCs w:val="24"/>
                <w:lang w:val="hr-HR"/>
              </w:rPr>
              <w:t>u smislu podrške drugim važnim politikama potrebno je naglasiti na sinergijski učinak NIPP-a i sustava prostornog uređenja koji je također opisan u Izvješću o stanju u prostoru Republike Hrvatske za razdoblje 2013.-2019. godine (Narodne novine, broj 105/21), gdje između ostaloga jedna preporuka navedenog izvješća glasi: „nastaviti uspostavu NIPP-a radi poboljšanja dostupnosti prostornih podataka</w:t>
            </w:r>
            <w:r w:rsidR="00FC5FCF">
              <w:rPr>
                <w:rFonts w:asciiTheme="majorHAnsi" w:eastAsia="Times New Roman" w:hAnsiTheme="majorHAnsi" w:cstheme="majorHAnsi"/>
                <w:szCs w:val="24"/>
                <w:lang w:val="hr-HR"/>
              </w:rPr>
              <w:t>, omogućavanja lakše razmjene podataka između subjekata NIPP-a i s javnošću te dobre prakse između subjekata NIPP-a.“</w:t>
            </w:r>
          </w:p>
          <w:p w14:paraId="46103E74" w14:textId="77777777" w:rsidR="00FC5FCF" w:rsidRPr="00765C4F" w:rsidRDefault="00FC5FCF" w:rsidP="00233277">
            <w:pPr>
              <w:widowControl w:val="0"/>
              <w:spacing w:after="0" w:line="240" w:lineRule="auto"/>
              <w:jc w:val="both"/>
              <w:rPr>
                <w:rFonts w:asciiTheme="majorHAnsi" w:eastAsia="Times New Roman" w:hAnsiTheme="majorHAnsi" w:cstheme="majorHAnsi"/>
                <w:szCs w:val="24"/>
                <w:lang w:val="hr-HR"/>
              </w:rPr>
            </w:pPr>
          </w:p>
          <w:p w14:paraId="1E8E5164" w14:textId="0AAF5619" w:rsidR="009903D1" w:rsidRPr="00765C4F" w:rsidRDefault="009903D1" w:rsidP="00233277">
            <w:pPr>
              <w:widowControl w:val="0"/>
              <w:spacing w:after="0" w:line="240" w:lineRule="auto"/>
              <w:jc w:val="both"/>
              <w:rPr>
                <w:rFonts w:asciiTheme="majorHAnsi" w:eastAsia="Times New Roman" w:hAnsiTheme="majorHAnsi" w:cstheme="majorHAnsi"/>
                <w:szCs w:val="24"/>
                <w:lang w:val="hr-HR"/>
              </w:rPr>
            </w:pPr>
            <w:r>
              <w:rPr>
                <w:rFonts w:asciiTheme="majorHAnsi" w:eastAsia="Times New Roman" w:hAnsiTheme="majorHAnsi" w:cstheme="majorHAnsi"/>
                <w:szCs w:val="24"/>
                <w:lang w:val="hr-HR"/>
              </w:rPr>
              <w:t>S</w:t>
            </w:r>
            <w:r w:rsidRPr="00765C4F">
              <w:rPr>
                <w:rFonts w:asciiTheme="majorHAnsi" w:eastAsia="Times New Roman" w:hAnsiTheme="majorHAnsi" w:cstheme="majorHAnsi"/>
                <w:szCs w:val="24"/>
                <w:lang w:val="hr-HR"/>
              </w:rPr>
              <w:t>ukladnost skupova prostornih podataka s Provedbenim pravilima</w:t>
            </w:r>
            <w:r w:rsidR="00A51C40">
              <w:rPr>
                <w:rFonts w:asciiTheme="majorHAnsi" w:eastAsia="Times New Roman" w:hAnsiTheme="majorHAnsi" w:cstheme="majorHAnsi"/>
                <w:szCs w:val="24"/>
                <w:lang w:val="hr-HR"/>
              </w:rPr>
              <w:t xml:space="preserve"> (tzv. INSPIRE provedbena pravila) </w:t>
            </w:r>
            <w:r w:rsidRPr="00765C4F">
              <w:rPr>
                <w:rFonts w:asciiTheme="majorHAnsi" w:eastAsia="Times New Roman" w:hAnsiTheme="majorHAnsi" w:cstheme="majorHAnsi"/>
                <w:szCs w:val="24"/>
                <w:lang w:val="hr-HR"/>
              </w:rPr>
              <w:t xml:space="preserve"> nije postigla očekivanu razinu od 100%. Razlog tome je uglavnom nedostatak financijskih sredstava koja bi se u</w:t>
            </w:r>
            <w:r>
              <w:rPr>
                <w:rFonts w:asciiTheme="majorHAnsi" w:eastAsia="Times New Roman" w:hAnsiTheme="majorHAnsi" w:cstheme="majorHAnsi"/>
                <w:szCs w:val="24"/>
                <w:lang w:val="hr-HR"/>
              </w:rPr>
              <w:t>ložila u harmonizaciju podataka.</w:t>
            </w:r>
            <w:r w:rsidRPr="00765C4F">
              <w:rPr>
                <w:rFonts w:asciiTheme="majorHAnsi" w:eastAsia="Times New Roman" w:hAnsiTheme="majorHAnsi" w:cstheme="majorHAnsi"/>
                <w:szCs w:val="24"/>
                <w:lang w:val="hr-HR"/>
              </w:rPr>
              <w:t xml:space="preserve"> Najveće su rezultate ipak ostvarili subjekti s nacionalne razine, te je tako ostvaren porast u odnosu na 2017. godinu od 4% (9% usklađenih skupova podataka u 2017. u odnosu na 13% usklađenih skupova do kraja 2020. prema rezultatima godišnjeg </w:t>
            </w:r>
            <w:hyperlink r:id="rId18" w:history="1">
              <w:r w:rsidRPr="00765C4F">
                <w:rPr>
                  <w:rFonts w:asciiTheme="majorHAnsi" w:eastAsia="Times New Roman" w:hAnsiTheme="majorHAnsi" w:cstheme="majorHAnsi"/>
                  <w:color w:val="0563C1" w:themeColor="hyperlink"/>
                  <w:szCs w:val="24"/>
                  <w:u w:val="single"/>
                  <w:lang w:val="hr-HR"/>
                </w:rPr>
                <w:t>Izvješća o praćenju</w:t>
              </w:r>
            </w:hyperlink>
            <w:r w:rsidRPr="00765C4F">
              <w:rPr>
                <w:rFonts w:asciiTheme="majorHAnsi" w:eastAsia="Times New Roman" w:hAnsiTheme="majorHAnsi" w:cstheme="majorHAnsi"/>
                <w:szCs w:val="24"/>
                <w:lang w:val="hr-HR"/>
              </w:rPr>
              <w:t xml:space="preserve"> u prosincu 2020. godine).</w:t>
            </w:r>
          </w:p>
          <w:p w14:paraId="54D53574" w14:textId="77777777" w:rsidR="009903D1" w:rsidRPr="00765C4F" w:rsidRDefault="009903D1" w:rsidP="00233277">
            <w:pPr>
              <w:widowControl w:val="0"/>
              <w:spacing w:after="0" w:line="240" w:lineRule="auto"/>
              <w:jc w:val="both"/>
              <w:rPr>
                <w:rFonts w:asciiTheme="majorHAnsi" w:eastAsia="Times New Roman" w:hAnsiTheme="majorHAnsi" w:cstheme="majorHAnsi"/>
                <w:szCs w:val="24"/>
                <w:lang w:val="hr-HR"/>
              </w:rPr>
            </w:pPr>
          </w:p>
          <w:p w14:paraId="127091F6" w14:textId="33BA5560" w:rsidR="009903D1" w:rsidRPr="00765C4F" w:rsidRDefault="009903D1" w:rsidP="00233277">
            <w:pPr>
              <w:widowControl w:val="0"/>
              <w:spacing w:after="0" w:line="240" w:lineRule="auto"/>
              <w:jc w:val="both"/>
              <w:rPr>
                <w:rFonts w:asciiTheme="majorHAnsi" w:eastAsia="Times New Roman" w:hAnsiTheme="majorHAnsi" w:cstheme="majorHAnsi"/>
                <w:szCs w:val="24"/>
                <w:lang w:val="hr-HR"/>
              </w:rPr>
            </w:pPr>
            <w:r w:rsidRPr="00765C4F">
              <w:rPr>
                <w:rFonts w:asciiTheme="majorHAnsi" w:eastAsia="Times New Roman" w:hAnsiTheme="majorHAnsi" w:cstheme="majorHAnsi"/>
                <w:szCs w:val="24"/>
                <w:lang w:val="hr-HR"/>
              </w:rPr>
              <w:t xml:space="preserve">Jedna od prepreka u postizanju željenog postotka harmoniziranih podataka je većinom neispravno tumačenje Zakona o NIPP-u od strane samih subjekata NIPP-a ili njihovih izvođača. Uglavnom se kao cilj ili obveza prepoznaje prijava </w:t>
            </w:r>
            <w:proofErr w:type="spellStart"/>
            <w:r w:rsidRPr="00765C4F">
              <w:rPr>
                <w:rFonts w:asciiTheme="majorHAnsi" w:eastAsia="Times New Roman" w:hAnsiTheme="majorHAnsi" w:cstheme="majorHAnsi"/>
                <w:szCs w:val="24"/>
                <w:lang w:val="hr-HR"/>
              </w:rPr>
              <w:t>metapodataka</w:t>
            </w:r>
            <w:proofErr w:type="spellEnd"/>
            <w:r w:rsidRPr="00765C4F">
              <w:rPr>
                <w:rFonts w:asciiTheme="majorHAnsi" w:eastAsia="Times New Roman" w:hAnsiTheme="majorHAnsi" w:cstheme="majorHAnsi"/>
                <w:szCs w:val="24"/>
                <w:lang w:val="hr-HR"/>
              </w:rPr>
              <w:t xml:space="preserve"> u Katalog </w:t>
            </w:r>
            <w:proofErr w:type="spellStart"/>
            <w:r w:rsidRPr="00765C4F">
              <w:rPr>
                <w:rFonts w:asciiTheme="majorHAnsi" w:eastAsia="Times New Roman" w:hAnsiTheme="majorHAnsi" w:cstheme="majorHAnsi"/>
                <w:szCs w:val="24"/>
                <w:lang w:val="hr-HR"/>
              </w:rPr>
              <w:t>metapodataka</w:t>
            </w:r>
            <w:proofErr w:type="spellEnd"/>
            <w:r w:rsidRPr="00765C4F">
              <w:rPr>
                <w:rFonts w:asciiTheme="majorHAnsi" w:eastAsia="Times New Roman" w:hAnsiTheme="majorHAnsi" w:cstheme="majorHAnsi"/>
                <w:szCs w:val="24"/>
                <w:lang w:val="hr-HR"/>
              </w:rPr>
              <w:t xml:space="preserve"> na </w:t>
            </w:r>
            <w:proofErr w:type="spellStart"/>
            <w:r w:rsidRPr="00765C4F">
              <w:rPr>
                <w:rFonts w:asciiTheme="majorHAnsi" w:eastAsia="Times New Roman" w:hAnsiTheme="majorHAnsi" w:cstheme="majorHAnsi"/>
                <w:szCs w:val="24"/>
                <w:lang w:val="hr-HR"/>
              </w:rPr>
              <w:t>Geoportalu</w:t>
            </w:r>
            <w:proofErr w:type="spellEnd"/>
            <w:r w:rsidRPr="00765C4F">
              <w:rPr>
                <w:rFonts w:asciiTheme="majorHAnsi" w:eastAsia="Times New Roman" w:hAnsiTheme="majorHAnsi" w:cstheme="majorHAnsi"/>
                <w:szCs w:val="24"/>
                <w:lang w:val="hr-HR"/>
              </w:rPr>
              <w:t xml:space="preserve"> NIPP-a i eventualni razvoj mrežnih usluga. No, u većini slučajeva razvi</w:t>
            </w:r>
            <w:r w:rsidR="005D54D2">
              <w:rPr>
                <w:rFonts w:asciiTheme="majorHAnsi" w:eastAsia="Times New Roman" w:hAnsiTheme="majorHAnsi" w:cstheme="majorHAnsi"/>
                <w:szCs w:val="24"/>
                <w:lang w:val="hr-HR"/>
              </w:rPr>
              <w:t xml:space="preserve">jene mrežne usluge nisu </w:t>
            </w:r>
            <w:r w:rsidRPr="00765C4F">
              <w:rPr>
                <w:rFonts w:asciiTheme="majorHAnsi" w:eastAsia="Times New Roman" w:hAnsiTheme="majorHAnsi" w:cstheme="majorHAnsi"/>
                <w:szCs w:val="24"/>
                <w:lang w:val="hr-HR"/>
              </w:rPr>
              <w:t>usklađene</w:t>
            </w:r>
            <w:r w:rsidR="005D54D2">
              <w:rPr>
                <w:rFonts w:asciiTheme="majorHAnsi" w:eastAsia="Times New Roman" w:hAnsiTheme="majorHAnsi" w:cstheme="majorHAnsi"/>
                <w:szCs w:val="24"/>
                <w:lang w:val="hr-HR"/>
              </w:rPr>
              <w:t xml:space="preserve"> s Provedbenim pravilima</w:t>
            </w:r>
            <w:r w:rsidRPr="00765C4F">
              <w:rPr>
                <w:rFonts w:asciiTheme="majorHAnsi" w:eastAsia="Times New Roman" w:hAnsiTheme="majorHAnsi" w:cstheme="majorHAnsi"/>
                <w:szCs w:val="24"/>
                <w:lang w:val="hr-HR"/>
              </w:rPr>
              <w:t>, a podaci koje one poslužuju nisu harmonizirani. Iskustvo izvođača registriranih u Republici Hrvatskoj je u harmonizaciji podataka sukladno INSPIRE-u relativno slabo te ukoliko se harmonizacija i radi, ostaje mnogo grešaka i kao rezultat se dobivaju podaci koji su i dalje ne</w:t>
            </w:r>
            <w:r w:rsidR="000B36D4">
              <w:rPr>
                <w:rFonts w:asciiTheme="majorHAnsi" w:eastAsia="Times New Roman" w:hAnsiTheme="majorHAnsi" w:cstheme="majorHAnsi"/>
                <w:szCs w:val="24"/>
                <w:lang w:val="hr-HR"/>
              </w:rPr>
              <w:t xml:space="preserve"> </w:t>
            </w:r>
            <w:r w:rsidRPr="00765C4F">
              <w:rPr>
                <w:rFonts w:asciiTheme="majorHAnsi" w:eastAsia="Times New Roman" w:hAnsiTheme="majorHAnsi" w:cstheme="majorHAnsi"/>
                <w:szCs w:val="24"/>
                <w:lang w:val="hr-HR"/>
              </w:rPr>
              <w:t xml:space="preserve">harmonizirani. </w:t>
            </w:r>
            <w:r w:rsidR="000B36D4" w:rsidRPr="00461AA0">
              <w:rPr>
                <w:rFonts w:asciiTheme="majorHAnsi" w:eastAsia="Times New Roman" w:hAnsiTheme="majorHAnsi" w:cstheme="majorHAnsi"/>
                <w:szCs w:val="24"/>
                <w:lang w:val="hr-HR"/>
              </w:rPr>
              <w:t>Bitna je stavka i razumijevanje subjekata o potrebi harmonizacije podataka. Naime, postoji određeno nerazumijevanje u pogledu svrhe i koristi harmoniz</w:t>
            </w:r>
            <w:r w:rsidR="000B36D4">
              <w:rPr>
                <w:rFonts w:asciiTheme="majorHAnsi" w:eastAsia="Times New Roman" w:hAnsiTheme="majorHAnsi" w:cstheme="majorHAnsi"/>
                <w:szCs w:val="24"/>
                <w:lang w:val="hr-HR"/>
              </w:rPr>
              <w:t>iranih</w:t>
            </w:r>
            <w:r w:rsidR="000B36D4" w:rsidRPr="00461AA0">
              <w:rPr>
                <w:rFonts w:asciiTheme="majorHAnsi" w:eastAsia="Times New Roman" w:hAnsiTheme="majorHAnsi" w:cstheme="majorHAnsi"/>
                <w:szCs w:val="24"/>
                <w:lang w:val="hr-HR"/>
              </w:rPr>
              <w:t xml:space="preserve"> podataka, posebice na razini subjekata, odnosno </w:t>
            </w:r>
            <w:r w:rsidR="000B36D4">
              <w:rPr>
                <w:rFonts w:asciiTheme="majorHAnsi" w:eastAsia="Times New Roman" w:hAnsiTheme="majorHAnsi" w:cstheme="majorHAnsi"/>
                <w:szCs w:val="24"/>
                <w:lang w:val="hr-HR"/>
              </w:rPr>
              <w:t>ne</w:t>
            </w:r>
            <w:r w:rsidR="000B36D4" w:rsidRPr="00461AA0">
              <w:rPr>
                <w:rFonts w:asciiTheme="majorHAnsi" w:eastAsia="Times New Roman" w:hAnsiTheme="majorHAnsi" w:cstheme="majorHAnsi"/>
                <w:szCs w:val="24"/>
                <w:lang w:val="hr-HR"/>
              </w:rPr>
              <w:t xml:space="preserve"> vide </w:t>
            </w:r>
            <w:r w:rsidR="000B36D4">
              <w:rPr>
                <w:rFonts w:asciiTheme="majorHAnsi" w:eastAsia="Times New Roman" w:hAnsiTheme="majorHAnsi" w:cstheme="majorHAnsi"/>
                <w:szCs w:val="24"/>
                <w:lang w:val="hr-HR"/>
              </w:rPr>
              <w:t>koristi za</w:t>
            </w:r>
            <w:r w:rsidR="000B36D4" w:rsidRPr="00461AA0">
              <w:rPr>
                <w:rFonts w:asciiTheme="majorHAnsi" w:eastAsia="Times New Roman" w:hAnsiTheme="majorHAnsi" w:cstheme="majorHAnsi"/>
                <w:szCs w:val="24"/>
                <w:lang w:val="hr-HR"/>
              </w:rPr>
              <w:t xml:space="preserve"> vlastite </w:t>
            </w:r>
            <w:r w:rsidR="000B36D4">
              <w:rPr>
                <w:rFonts w:asciiTheme="majorHAnsi" w:eastAsia="Times New Roman" w:hAnsiTheme="majorHAnsi" w:cstheme="majorHAnsi"/>
                <w:szCs w:val="24"/>
                <w:lang w:val="hr-HR"/>
              </w:rPr>
              <w:t>potrebe</w:t>
            </w:r>
            <w:r w:rsidR="000B36D4" w:rsidRPr="00461AA0">
              <w:rPr>
                <w:rFonts w:asciiTheme="majorHAnsi" w:eastAsia="Times New Roman" w:hAnsiTheme="majorHAnsi" w:cstheme="majorHAnsi"/>
                <w:szCs w:val="24"/>
                <w:lang w:val="hr-HR"/>
              </w:rPr>
              <w:t xml:space="preserve">. </w:t>
            </w:r>
            <w:r w:rsidRPr="00765C4F">
              <w:rPr>
                <w:rFonts w:asciiTheme="majorHAnsi" w:eastAsia="Times New Roman" w:hAnsiTheme="majorHAnsi" w:cstheme="majorHAnsi"/>
                <w:szCs w:val="24"/>
                <w:lang w:val="hr-HR"/>
              </w:rPr>
              <w:t>Također su izvori financiranja predviđeni za harmonizaciju podataka kao i ljudski kapaciteti na strani subjekata NIPP-a za praćenje provedbe ove aktivnosti limitirani.</w:t>
            </w:r>
          </w:p>
          <w:p w14:paraId="039C56A6" w14:textId="77777777" w:rsidR="009903D1" w:rsidRPr="00765C4F" w:rsidRDefault="009903D1" w:rsidP="00233277">
            <w:pPr>
              <w:widowControl w:val="0"/>
              <w:spacing w:after="0" w:line="240" w:lineRule="auto"/>
              <w:jc w:val="both"/>
              <w:rPr>
                <w:rFonts w:asciiTheme="majorHAnsi" w:eastAsia="Times New Roman" w:hAnsiTheme="majorHAnsi" w:cstheme="majorHAnsi"/>
                <w:sz w:val="24"/>
                <w:szCs w:val="24"/>
                <w:lang w:val="hr-HR"/>
              </w:rPr>
            </w:pPr>
          </w:p>
          <w:p w14:paraId="1FB4CE56" w14:textId="77777777" w:rsidR="009903D1" w:rsidRPr="00765C4F" w:rsidRDefault="009903D1" w:rsidP="00233277">
            <w:pPr>
              <w:widowControl w:val="0"/>
              <w:spacing w:after="0" w:line="240" w:lineRule="auto"/>
              <w:jc w:val="both"/>
              <w:rPr>
                <w:rFonts w:asciiTheme="majorHAnsi" w:eastAsia="Times New Roman" w:hAnsiTheme="majorHAnsi" w:cstheme="majorHAnsi"/>
                <w:lang w:val="hr-HR"/>
              </w:rPr>
            </w:pPr>
            <w:r w:rsidRPr="00765C4F">
              <w:rPr>
                <w:rFonts w:asciiTheme="majorHAnsi" w:eastAsia="Times New Roman" w:hAnsiTheme="majorHAnsi" w:cstheme="majorHAnsi"/>
                <w:lang w:val="hr-HR"/>
              </w:rPr>
              <w:t xml:space="preserve">Što se tiče usklađenosti samih </w:t>
            </w:r>
            <w:proofErr w:type="spellStart"/>
            <w:r w:rsidRPr="00765C4F">
              <w:rPr>
                <w:rFonts w:asciiTheme="majorHAnsi" w:eastAsia="Times New Roman" w:hAnsiTheme="majorHAnsi" w:cstheme="majorHAnsi"/>
                <w:lang w:val="hr-HR"/>
              </w:rPr>
              <w:t>metapodataka</w:t>
            </w:r>
            <w:proofErr w:type="spellEnd"/>
            <w:r w:rsidRPr="00765C4F">
              <w:rPr>
                <w:rFonts w:asciiTheme="majorHAnsi" w:eastAsia="Times New Roman" w:hAnsiTheme="majorHAnsi" w:cstheme="majorHAnsi"/>
                <w:lang w:val="hr-HR"/>
              </w:rPr>
              <w:t xml:space="preserve"> sa Provedbenim pravilima za </w:t>
            </w:r>
            <w:proofErr w:type="spellStart"/>
            <w:r w:rsidRPr="00765C4F">
              <w:rPr>
                <w:rFonts w:asciiTheme="majorHAnsi" w:eastAsia="Times New Roman" w:hAnsiTheme="majorHAnsi" w:cstheme="majorHAnsi"/>
                <w:lang w:val="hr-HR"/>
              </w:rPr>
              <w:t>metapodatke</w:t>
            </w:r>
            <w:proofErr w:type="spellEnd"/>
            <w:r w:rsidRPr="00765C4F">
              <w:rPr>
                <w:rFonts w:asciiTheme="majorHAnsi" w:eastAsia="Times New Roman" w:hAnsiTheme="majorHAnsi" w:cstheme="majorHAnsi"/>
                <w:lang w:val="hr-HR"/>
              </w:rPr>
              <w:t xml:space="preserve">, do kraja 2020. godine je, prema rezultatima godišnjeg </w:t>
            </w:r>
            <w:hyperlink r:id="rId19" w:history="1">
              <w:r w:rsidRPr="00765C4F">
                <w:rPr>
                  <w:rFonts w:asciiTheme="majorHAnsi" w:eastAsia="Times New Roman" w:hAnsiTheme="majorHAnsi" w:cstheme="majorHAnsi"/>
                  <w:color w:val="0563C1" w:themeColor="hyperlink"/>
                  <w:u w:val="single"/>
                  <w:lang w:val="hr-HR"/>
                </w:rPr>
                <w:t>Izvješća o praćenju</w:t>
              </w:r>
            </w:hyperlink>
            <w:r w:rsidRPr="00765C4F">
              <w:rPr>
                <w:rFonts w:asciiTheme="majorHAnsi" w:eastAsia="Times New Roman" w:hAnsiTheme="majorHAnsi" w:cstheme="majorHAnsi"/>
                <w:lang w:val="hr-HR"/>
              </w:rPr>
              <w:t xml:space="preserve">, usklađenost </w:t>
            </w:r>
            <w:proofErr w:type="spellStart"/>
            <w:r w:rsidRPr="00765C4F">
              <w:rPr>
                <w:rFonts w:asciiTheme="majorHAnsi" w:eastAsia="Times New Roman" w:hAnsiTheme="majorHAnsi" w:cstheme="majorHAnsi"/>
                <w:lang w:val="hr-HR"/>
              </w:rPr>
              <w:t>metapodataka</w:t>
            </w:r>
            <w:proofErr w:type="spellEnd"/>
            <w:r w:rsidRPr="00765C4F">
              <w:rPr>
                <w:rFonts w:asciiTheme="majorHAnsi" w:eastAsia="Times New Roman" w:hAnsiTheme="majorHAnsi" w:cstheme="majorHAnsi"/>
                <w:lang w:val="hr-HR"/>
              </w:rPr>
              <w:t xml:space="preserve"> skupova i nizova podataka iznosila 51%, dok je usklađenost </w:t>
            </w:r>
            <w:proofErr w:type="spellStart"/>
            <w:r w:rsidRPr="00765C4F">
              <w:rPr>
                <w:rFonts w:asciiTheme="majorHAnsi" w:eastAsia="Times New Roman" w:hAnsiTheme="majorHAnsi" w:cstheme="majorHAnsi"/>
                <w:lang w:val="hr-HR"/>
              </w:rPr>
              <w:t>metapodataka</w:t>
            </w:r>
            <w:proofErr w:type="spellEnd"/>
            <w:r w:rsidRPr="00765C4F">
              <w:rPr>
                <w:rFonts w:asciiTheme="majorHAnsi" w:eastAsia="Times New Roman" w:hAnsiTheme="majorHAnsi" w:cstheme="majorHAnsi"/>
                <w:lang w:val="hr-HR"/>
              </w:rPr>
              <w:t xml:space="preserve"> mrežnih usluga iznosila 100%. </w:t>
            </w:r>
          </w:p>
          <w:p w14:paraId="765C7D46" w14:textId="77777777" w:rsidR="009903D1" w:rsidRPr="00765C4F" w:rsidRDefault="009903D1" w:rsidP="00233277">
            <w:pPr>
              <w:widowControl w:val="0"/>
              <w:spacing w:after="0" w:line="240" w:lineRule="auto"/>
              <w:jc w:val="both"/>
              <w:rPr>
                <w:rFonts w:asciiTheme="majorHAnsi" w:eastAsia="Times New Roman" w:hAnsiTheme="majorHAnsi" w:cstheme="majorHAnsi"/>
                <w:lang w:val="hr-HR"/>
              </w:rPr>
            </w:pPr>
          </w:p>
          <w:p w14:paraId="553EE3EF" w14:textId="77777777" w:rsidR="009903D1" w:rsidRPr="00765C4F" w:rsidRDefault="009903D1" w:rsidP="00233277">
            <w:pPr>
              <w:widowControl w:val="0"/>
              <w:spacing w:after="0" w:line="240" w:lineRule="auto"/>
              <w:jc w:val="both"/>
              <w:rPr>
                <w:rFonts w:asciiTheme="majorHAnsi" w:eastAsia="Times New Roman" w:hAnsiTheme="majorHAnsi" w:cstheme="majorHAnsi"/>
                <w:lang w:val="hr-HR"/>
              </w:rPr>
            </w:pPr>
            <w:r w:rsidRPr="00765C4F">
              <w:rPr>
                <w:rFonts w:asciiTheme="majorHAnsi" w:eastAsia="Times New Roman" w:hAnsiTheme="majorHAnsi" w:cstheme="majorHAnsi"/>
                <w:lang w:val="hr-HR"/>
              </w:rPr>
              <w:t>Jedan od pokazatelja za izvršenje ovog strateškog cilja je svakako i broj odnosno postotak skupova/nizova prostornih podataka koji su dostupni za pregled odnosno preuzimanje putem mrežnih usluga pregleda i preuzimanja. Do kraja 2020. godine je bilo 16% skupova prostornih podataka dostupnih za pregled i 6% skupova dostupnih za preuzimanje.</w:t>
            </w:r>
          </w:p>
          <w:p w14:paraId="68BB2B40" w14:textId="77777777" w:rsidR="009903D1" w:rsidRPr="00765C4F" w:rsidRDefault="009903D1" w:rsidP="00233277">
            <w:pPr>
              <w:widowControl w:val="0"/>
              <w:spacing w:after="0" w:line="240" w:lineRule="auto"/>
              <w:jc w:val="both"/>
              <w:rPr>
                <w:rFonts w:asciiTheme="majorHAnsi" w:eastAsia="Times New Roman" w:hAnsiTheme="majorHAnsi" w:cstheme="majorHAnsi"/>
                <w:lang w:val="hr-HR"/>
              </w:rPr>
            </w:pPr>
          </w:p>
          <w:p w14:paraId="6F7737E0" w14:textId="7989D65B" w:rsidR="009903D1" w:rsidRPr="00765C4F" w:rsidRDefault="009903D1" w:rsidP="00233277">
            <w:pPr>
              <w:widowControl w:val="0"/>
              <w:spacing w:after="0" w:line="240" w:lineRule="auto"/>
              <w:jc w:val="both"/>
              <w:rPr>
                <w:rFonts w:asciiTheme="majorHAnsi" w:eastAsia="Times New Roman" w:hAnsiTheme="majorHAnsi" w:cstheme="majorHAnsi"/>
                <w:lang w:val="hr-HR"/>
              </w:rPr>
            </w:pPr>
            <w:r w:rsidRPr="00765C4F">
              <w:rPr>
                <w:rFonts w:asciiTheme="majorHAnsi" w:eastAsia="Times New Roman" w:hAnsiTheme="majorHAnsi" w:cstheme="majorHAnsi"/>
                <w:lang w:val="hr-HR"/>
              </w:rPr>
              <w:t xml:space="preserve">U provedbenom razdoblju Strategije, Nacionalna kontaktna točka je izradila i dostavila Europskoj Komisiji četiri godišnja Izvješća o praćenju i trogodišnje Izvješće o uspostavi, održavanju i razvoju NIPP-a. Prema Direktivi </w:t>
            </w:r>
            <w:r w:rsidR="006939F6" w:rsidRPr="006939F6">
              <w:rPr>
                <w:rFonts w:asciiTheme="majorHAnsi" w:eastAsia="Times New Roman" w:hAnsiTheme="majorHAnsi" w:cstheme="majorHAnsi"/>
                <w:lang w:val="hr-HR"/>
              </w:rPr>
              <w:t>I</w:t>
            </w:r>
            <w:r w:rsidRPr="00765C4F">
              <w:rPr>
                <w:rFonts w:asciiTheme="majorHAnsi" w:eastAsia="Times New Roman" w:hAnsiTheme="majorHAnsi" w:cstheme="majorHAnsi"/>
                <w:lang w:val="hr-HR"/>
              </w:rPr>
              <w:t xml:space="preserve">NSPIRE (EZ/2007/2) svaka je država članica svake godine dužna pripremiti i predati Europskoj komisiji dokument Izviješće o praćenju (engl. Monitoring) u kojem se nalaze izračunati brojni indikatori koji ukazuju na provođenje i korištenje infrastrukture prostornih podataka. Informacije koje se nalaze u dokumentu uključuju listu izvora prostornih podataka i usluga koji čine nacionalnu infrastrukturu prostornih podataka. U 2019. godini je stupila na snagu nova Odluka Komisije o provedbi Direktive 2007/2/EZ Europskog parlamenta i Vijeća u pogledu praćenja i izvješćivanja (EU 2019/1372) prema kojoj se od 2019. godine automatski izračunavaju indikatori praćenja putem </w:t>
            </w:r>
            <w:proofErr w:type="spellStart"/>
            <w:r w:rsidRPr="00765C4F">
              <w:rPr>
                <w:rFonts w:asciiTheme="majorHAnsi" w:eastAsia="Times New Roman" w:hAnsiTheme="majorHAnsi" w:cstheme="majorHAnsi"/>
                <w:lang w:val="hr-HR"/>
              </w:rPr>
              <w:t>metapodataka</w:t>
            </w:r>
            <w:proofErr w:type="spellEnd"/>
            <w:r w:rsidRPr="00765C4F">
              <w:rPr>
                <w:rFonts w:asciiTheme="majorHAnsi" w:eastAsia="Times New Roman" w:hAnsiTheme="majorHAnsi" w:cstheme="majorHAnsi"/>
                <w:lang w:val="hr-HR"/>
              </w:rPr>
              <w:t xml:space="preserve"> koji se iz nacionalnog kataloga preuzimaju na INSPIRE Geoportal. Također se prema novoj Odluci od 2019. svake godine, ukoliko se za to pokaže potreba, ažurira sažeto Izvješće o uspostavi, održavanju i razvoju Nacionalne infrastrukture prostornih podataka koje zamjenjuje trogodišnje Izvješće o praćenju.  U pogledu Izvješćivanja prema Europskoj Komisiji Nacionalna kontaktna točka je ispunila sve svoje obaveze u provedbenom razdoblju Strategije.</w:t>
            </w:r>
          </w:p>
          <w:p w14:paraId="4BA76F5B" w14:textId="77777777" w:rsidR="009903D1" w:rsidRPr="00765C4F" w:rsidRDefault="009903D1" w:rsidP="00233277">
            <w:pPr>
              <w:widowControl w:val="0"/>
              <w:spacing w:after="0" w:line="240" w:lineRule="auto"/>
              <w:jc w:val="both"/>
              <w:rPr>
                <w:rFonts w:asciiTheme="majorHAnsi" w:eastAsia="Times New Roman" w:hAnsiTheme="majorHAnsi" w:cstheme="majorHAnsi"/>
                <w:sz w:val="24"/>
                <w:szCs w:val="24"/>
                <w:lang w:val="hr-HR"/>
              </w:rPr>
            </w:pPr>
          </w:p>
          <w:p w14:paraId="7167CDF2" w14:textId="77777777" w:rsidR="009903D1" w:rsidRPr="00765C4F" w:rsidRDefault="009903D1" w:rsidP="00233277">
            <w:pPr>
              <w:widowControl w:val="0"/>
              <w:spacing w:after="0" w:line="240" w:lineRule="auto"/>
              <w:jc w:val="both"/>
              <w:rPr>
                <w:rFonts w:asciiTheme="majorHAnsi" w:eastAsia="Times New Roman" w:hAnsiTheme="majorHAnsi" w:cstheme="majorHAnsi"/>
                <w:szCs w:val="24"/>
                <w:lang w:val="hr-HR"/>
              </w:rPr>
            </w:pPr>
            <w:r w:rsidRPr="00765C4F">
              <w:rPr>
                <w:rFonts w:asciiTheme="majorHAnsi" w:eastAsia="Times New Roman" w:hAnsiTheme="majorHAnsi" w:cstheme="majorHAnsi"/>
                <w:szCs w:val="24"/>
                <w:lang w:val="hr-HR"/>
              </w:rPr>
              <w:t xml:space="preserve">Jedna od politika obuhvaćenih Strategijom NIPP-a je Strategija e-Hrvatska te je predviđeno njihovo jačanje suradnje. Na upravljačkoj i planskoj razini povezanost NIPP-a s e-Hrvatskom ostvarena je kako je i predviđeno Strategijom NIPP-a te je tako u 4. saziv Vijeća NIPP-a imenovan predstavnik središnjeg tijela države uprave nadležnog za poslove e-Hrvatske, dok je u </w:t>
            </w:r>
            <w:hyperlink r:id="rId20" w:history="1">
              <w:r w:rsidRPr="00765C4F">
                <w:rPr>
                  <w:rFonts w:asciiTheme="majorHAnsi" w:eastAsia="Times New Roman" w:hAnsiTheme="majorHAnsi" w:cstheme="majorHAnsi"/>
                  <w:szCs w:val="24"/>
                  <w:lang w:val="hr-HR"/>
                </w:rPr>
                <w:t>Strategiji e-Hrvatske 2020</w:t>
              </w:r>
            </w:hyperlink>
            <w:r w:rsidRPr="00765C4F">
              <w:rPr>
                <w:rFonts w:asciiTheme="majorHAnsi" w:eastAsia="Times New Roman" w:hAnsiTheme="majorHAnsi" w:cstheme="majorHAnsi"/>
                <w:szCs w:val="24"/>
                <w:lang w:val="hr-HR"/>
              </w:rPr>
              <w:t xml:space="preserve"> i </w:t>
            </w:r>
            <w:hyperlink r:id="rId21" w:history="1">
              <w:r w:rsidRPr="00765C4F">
                <w:rPr>
                  <w:rFonts w:asciiTheme="majorHAnsi" w:eastAsia="Times New Roman" w:hAnsiTheme="majorHAnsi" w:cstheme="majorHAnsi"/>
                  <w:szCs w:val="24"/>
                  <w:lang w:val="hr-HR"/>
                </w:rPr>
                <w:t>Akcijskom planu za provedbu Strategije e-Hrvatska 2020</w:t>
              </w:r>
            </w:hyperlink>
            <w:r w:rsidRPr="00765C4F">
              <w:rPr>
                <w:rFonts w:asciiTheme="majorHAnsi" w:eastAsia="Times New Roman" w:hAnsiTheme="majorHAnsi" w:cstheme="majorHAnsi"/>
                <w:szCs w:val="24"/>
                <w:lang w:val="hr-HR"/>
              </w:rPr>
              <w:t xml:space="preserve"> – Projekti državne informacijske infrastrukture NIPP uključen na planskoj razini u području Pravne države i sigurnosti. Ovim je dokumentima dodatno planiran razvoj područja prostornih podataka koje uređuje NIPP. Posebice su definirani ciljevi u vidu uključivanja podataka u NIPP (HAOP – MINGOR, DGU, Hrvatske vode) i razvoja mrežnih usluga, nadogradnje i razvoja </w:t>
            </w:r>
            <w:proofErr w:type="spellStart"/>
            <w:r w:rsidRPr="00765C4F">
              <w:rPr>
                <w:rFonts w:asciiTheme="majorHAnsi" w:eastAsia="Times New Roman" w:hAnsiTheme="majorHAnsi" w:cstheme="majorHAnsi"/>
                <w:szCs w:val="24"/>
                <w:lang w:val="hr-HR"/>
              </w:rPr>
              <w:t>Geoportala</w:t>
            </w:r>
            <w:proofErr w:type="spellEnd"/>
            <w:r w:rsidRPr="00765C4F">
              <w:rPr>
                <w:rFonts w:asciiTheme="majorHAnsi" w:eastAsia="Times New Roman" w:hAnsiTheme="majorHAnsi" w:cstheme="majorHAnsi"/>
                <w:szCs w:val="24"/>
                <w:lang w:val="hr-HR"/>
              </w:rPr>
              <w:t xml:space="preserve"> NIPP-a, edukacije subjekata i drugo. </w:t>
            </w:r>
          </w:p>
          <w:p w14:paraId="3654BF97" w14:textId="77777777" w:rsidR="009903D1" w:rsidRPr="00765C4F" w:rsidRDefault="009903D1" w:rsidP="00233277">
            <w:pPr>
              <w:widowControl w:val="0"/>
              <w:spacing w:after="0" w:line="240" w:lineRule="auto"/>
              <w:jc w:val="both"/>
              <w:rPr>
                <w:rFonts w:asciiTheme="majorHAnsi" w:eastAsia="Times New Roman" w:hAnsiTheme="majorHAnsi" w:cstheme="majorHAnsi"/>
                <w:szCs w:val="24"/>
                <w:lang w:val="hr-HR"/>
              </w:rPr>
            </w:pPr>
          </w:p>
          <w:p w14:paraId="6C46D54D" w14:textId="77777777" w:rsidR="009903D1" w:rsidRPr="00765C4F" w:rsidRDefault="009903D1" w:rsidP="00233277">
            <w:pPr>
              <w:widowControl w:val="0"/>
              <w:spacing w:after="0" w:line="240" w:lineRule="auto"/>
              <w:jc w:val="both"/>
              <w:rPr>
                <w:rFonts w:asciiTheme="majorHAnsi" w:eastAsia="Times New Roman" w:hAnsiTheme="majorHAnsi" w:cstheme="majorHAnsi"/>
                <w:szCs w:val="24"/>
                <w:lang w:val="hr-HR"/>
              </w:rPr>
            </w:pPr>
            <w:r w:rsidRPr="00765C4F">
              <w:rPr>
                <w:rFonts w:asciiTheme="majorHAnsi" w:eastAsia="Times New Roman" w:hAnsiTheme="majorHAnsi" w:cstheme="majorHAnsi"/>
                <w:szCs w:val="24"/>
                <w:lang w:val="hr-HR"/>
              </w:rPr>
              <w:t xml:space="preserve">U </w:t>
            </w:r>
            <w:hyperlink r:id="rId22" w:history="1">
              <w:r w:rsidRPr="00765C4F">
                <w:rPr>
                  <w:rFonts w:asciiTheme="majorHAnsi" w:eastAsia="Times New Roman" w:hAnsiTheme="majorHAnsi" w:cstheme="majorHAnsi"/>
                  <w:szCs w:val="24"/>
                  <w:lang w:val="hr-HR"/>
                </w:rPr>
                <w:t>Akcijskom planu za provedbu Strategije e-Hrvatska 2020</w:t>
              </w:r>
            </w:hyperlink>
            <w:r w:rsidRPr="00765C4F">
              <w:rPr>
                <w:rFonts w:asciiTheme="majorHAnsi" w:eastAsia="Times New Roman" w:hAnsiTheme="majorHAnsi" w:cstheme="majorHAnsi"/>
                <w:szCs w:val="24"/>
                <w:lang w:val="hr-HR"/>
              </w:rPr>
              <w:t xml:space="preserve"> su navedene tri komponente projekta „Unaprjeđenje pristupa prostornim podacima javnog sektora putem </w:t>
            </w:r>
            <w:proofErr w:type="spellStart"/>
            <w:r w:rsidRPr="00765C4F">
              <w:rPr>
                <w:rFonts w:asciiTheme="majorHAnsi" w:eastAsia="Times New Roman" w:hAnsiTheme="majorHAnsi" w:cstheme="majorHAnsi"/>
                <w:szCs w:val="24"/>
                <w:lang w:val="hr-HR"/>
              </w:rPr>
              <w:t>geoportala</w:t>
            </w:r>
            <w:proofErr w:type="spellEnd"/>
            <w:r w:rsidRPr="00765C4F">
              <w:rPr>
                <w:rFonts w:asciiTheme="majorHAnsi" w:eastAsia="Times New Roman" w:hAnsiTheme="majorHAnsi" w:cstheme="majorHAnsi"/>
                <w:szCs w:val="24"/>
                <w:lang w:val="hr-HR"/>
              </w:rPr>
              <w:t xml:space="preserve"> NIPP-a” koji  je sufinanciran sredstvima</w:t>
            </w:r>
            <w:r w:rsidR="000B36D4">
              <w:rPr>
                <w:rFonts w:asciiTheme="majorHAnsi" w:eastAsia="Times New Roman" w:hAnsiTheme="majorHAnsi" w:cstheme="majorHAnsi"/>
                <w:szCs w:val="24"/>
                <w:lang w:val="hr-HR"/>
              </w:rPr>
              <w:t xml:space="preserve"> iz Europskog socijalnog fonda </w:t>
            </w:r>
            <w:r w:rsidR="000B36D4" w:rsidRPr="00461AA0">
              <w:rPr>
                <w:rFonts w:asciiTheme="majorHAnsi" w:eastAsia="Times New Roman" w:hAnsiTheme="majorHAnsi" w:cstheme="majorHAnsi"/>
                <w:szCs w:val="24"/>
                <w:lang w:val="hr-HR"/>
              </w:rPr>
              <w:t>i E</w:t>
            </w:r>
            <w:r w:rsidR="000B36D4">
              <w:rPr>
                <w:rFonts w:asciiTheme="majorHAnsi" w:eastAsia="Times New Roman" w:hAnsiTheme="majorHAnsi" w:cstheme="majorHAnsi"/>
                <w:szCs w:val="24"/>
                <w:lang w:val="hr-HR"/>
              </w:rPr>
              <w:t>uropskog fonda za regionalni razvoj</w:t>
            </w:r>
            <w:r w:rsidR="000B36D4" w:rsidRPr="00461AA0">
              <w:rPr>
                <w:rFonts w:asciiTheme="majorHAnsi" w:eastAsia="Times New Roman" w:hAnsiTheme="majorHAnsi" w:cstheme="majorHAnsi"/>
                <w:szCs w:val="24"/>
                <w:lang w:val="hr-HR"/>
              </w:rPr>
              <w:t>.</w:t>
            </w:r>
            <w:r w:rsidRPr="00765C4F">
              <w:rPr>
                <w:rFonts w:asciiTheme="majorHAnsi" w:eastAsia="Times New Roman" w:hAnsiTheme="majorHAnsi" w:cstheme="majorHAnsi"/>
                <w:szCs w:val="24"/>
                <w:lang w:val="hr-HR"/>
              </w:rPr>
              <w:t xml:space="preserve"> Svaka komponenta projekta na svojoj razini pridonosi konačnom cilju; olakšanom pristupu prostornim podacima. Ovaj projekt u ukupnom iznosu iznosi 2,005,882.00 kuna.</w:t>
            </w:r>
          </w:p>
          <w:p w14:paraId="7471D5D1" w14:textId="77777777" w:rsidR="009903D1" w:rsidRPr="00765C4F" w:rsidRDefault="009903D1" w:rsidP="00233277">
            <w:pPr>
              <w:widowControl w:val="0"/>
              <w:spacing w:after="0" w:line="240" w:lineRule="auto"/>
              <w:jc w:val="both"/>
              <w:rPr>
                <w:rFonts w:asciiTheme="majorHAnsi" w:eastAsia="Times New Roman" w:hAnsiTheme="majorHAnsi" w:cstheme="majorHAnsi"/>
                <w:szCs w:val="24"/>
                <w:lang w:val="hr-HR"/>
              </w:rPr>
            </w:pPr>
          </w:p>
          <w:p w14:paraId="4E24B407" w14:textId="77777777" w:rsidR="009903D1" w:rsidRPr="00765C4F" w:rsidRDefault="009903D1" w:rsidP="00233277">
            <w:pPr>
              <w:widowControl w:val="0"/>
              <w:spacing w:after="0" w:line="240" w:lineRule="auto"/>
              <w:jc w:val="both"/>
              <w:rPr>
                <w:rFonts w:asciiTheme="majorHAnsi" w:eastAsia="Times New Roman" w:hAnsiTheme="majorHAnsi" w:cstheme="majorHAnsi"/>
                <w:szCs w:val="24"/>
                <w:lang w:val="hr-HR"/>
              </w:rPr>
            </w:pPr>
            <w:r w:rsidRPr="00765C4F">
              <w:rPr>
                <w:rFonts w:asciiTheme="majorHAnsi" w:eastAsia="Times New Roman" w:hAnsiTheme="majorHAnsi" w:cstheme="majorHAnsi"/>
                <w:szCs w:val="24"/>
                <w:lang w:val="hr-HR"/>
              </w:rPr>
              <w:t xml:space="preserve">Državna geodetska uprava je u provedbenom razdoblju Strategije podnijela </w:t>
            </w:r>
            <w:r>
              <w:rPr>
                <w:rFonts w:asciiTheme="majorHAnsi" w:eastAsia="Times New Roman" w:hAnsiTheme="majorHAnsi" w:cstheme="majorHAnsi"/>
                <w:szCs w:val="24"/>
                <w:lang w:val="hr-HR"/>
              </w:rPr>
              <w:t>ukupno šest</w:t>
            </w:r>
            <w:r w:rsidRPr="00765C4F">
              <w:rPr>
                <w:rFonts w:asciiTheme="majorHAnsi" w:eastAsia="Times New Roman" w:hAnsiTheme="majorHAnsi" w:cstheme="majorHAnsi"/>
                <w:szCs w:val="24"/>
                <w:lang w:val="hr-HR"/>
              </w:rPr>
              <w:t xml:space="preserve"> zahtjeva za sufinanciranjem iz strukturnih i kohezijskih fondova EU</w:t>
            </w:r>
            <w:r>
              <w:rPr>
                <w:rFonts w:asciiTheme="majorHAnsi" w:eastAsia="Times New Roman" w:hAnsiTheme="majorHAnsi" w:cstheme="majorHAnsi"/>
                <w:szCs w:val="24"/>
                <w:lang w:val="hr-HR"/>
              </w:rPr>
              <w:t xml:space="preserve"> </w:t>
            </w:r>
            <w:r w:rsidRPr="00CE1F61">
              <w:rPr>
                <w:rFonts w:asciiTheme="majorHAnsi" w:eastAsia="Times New Roman" w:hAnsiTheme="majorHAnsi" w:cstheme="majorHAnsi"/>
                <w:szCs w:val="24"/>
                <w:lang w:val="hr-HR"/>
              </w:rPr>
              <w:t>u okviru Akcijskog plana e-Hrvatska 2020</w:t>
            </w:r>
            <w:r>
              <w:rPr>
                <w:rFonts w:asciiTheme="majorHAnsi" w:eastAsia="Times New Roman" w:hAnsiTheme="majorHAnsi" w:cstheme="majorHAnsi"/>
                <w:szCs w:val="24"/>
                <w:lang w:val="hr-HR"/>
              </w:rPr>
              <w:t xml:space="preserve">., dok su Državni hidrometeorološki zavod i </w:t>
            </w:r>
            <w:r w:rsidRPr="00CE1F61">
              <w:rPr>
                <w:rFonts w:asciiTheme="majorHAnsi" w:eastAsia="Times New Roman" w:hAnsiTheme="majorHAnsi" w:cstheme="majorHAnsi"/>
                <w:szCs w:val="24"/>
                <w:lang w:val="hr-HR"/>
              </w:rPr>
              <w:t>Ministarstvo prostornoga uređenja, graditeljstva i državne imovine</w:t>
            </w:r>
            <w:r>
              <w:rPr>
                <w:rFonts w:asciiTheme="majorHAnsi" w:eastAsia="Times New Roman" w:hAnsiTheme="majorHAnsi" w:cstheme="majorHAnsi"/>
                <w:szCs w:val="24"/>
                <w:lang w:val="hr-HR"/>
              </w:rPr>
              <w:t xml:space="preserve"> prijavili po jedan zahtjev. P</w:t>
            </w:r>
            <w:r w:rsidRPr="00765C4F">
              <w:rPr>
                <w:rFonts w:asciiTheme="majorHAnsi" w:eastAsia="Times New Roman" w:hAnsiTheme="majorHAnsi" w:cstheme="majorHAnsi"/>
                <w:szCs w:val="24"/>
                <w:lang w:val="hr-HR"/>
              </w:rPr>
              <w:t>roveden</w:t>
            </w:r>
            <w:r>
              <w:rPr>
                <w:rFonts w:asciiTheme="majorHAnsi" w:eastAsia="Times New Roman" w:hAnsiTheme="majorHAnsi" w:cstheme="majorHAnsi"/>
                <w:szCs w:val="24"/>
                <w:lang w:val="hr-HR"/>
              </w:rPr>
              <w:t>i</w:t>
            </w:r>
            <w:r w:rsidRPr="00765C4F">
              <w:rPr>
                <w:rFonts w:asciiTheme="majorHAnsi" w:eastAsia="Times New Roman" w:hAnsiTheme="majorHAnsi" w:cstheme="majorHAnsi"/>
                <w:szCs w:val="24"/>
                <w:lang w:val="hr-HR"/>
              </w:rPr>
              <w:t xml:space="preserve"> projekt</w:t>
            </w:r>
            <w:r>
              <w:rPr>
                <w:rFonts w:asciiTheme="majorHAnsi" w:eastAsia="Times New Roman" w:hAnsiTheme="majorHAnsi" w:cstheme="majorHAnsi"/>
                <w:szCs w:val="24"/>
                <w:lang w:val="hr-HR"/>
              </w:rPr>
              <w:t>i</w:t>
            </w:r>
            <w:r w:rsidRPr="00765C4F">
              <w:rPr>
                <w:rFonts w:asciiTheme="majorHAnsi" w:eastAsia="Times New Roman" w:hAnsiTheme="majorHAnsi" w:cstheme="majorHAnsi"/>
                <w:szCs w:val="24"/>
                <w:lang w:val="hr-HR"/>
              </w:rPr>
              <w:t xml:space="preserve"> su</w:t>
            </w:r>
            <w:r>
              <w:rPr>
                <w:rFonts w:asciiTheme="majorHAnsi" w:eastAsia="Times New Roman" w:hAnsiTheme="majorHAnsi" w:cstheme="majorHAnsi"/>
                <w:szCs w:val="24"/>
                <w:lang w:val="hr-HR"/>
              </w:rPr>
              <w:t xml:space="preserve"> u potpunosti ili djelomično posvećeni NIPP-u</w:t>
            </w:r>
            <w:r w:rsidRPr="00765C4F">
              <w:rPr>
                <w:rFonts w:asciiTheme="majorHAnsi" w:eastAsia="Times New Roman" w:hAnsiTheme="majorHAnsi" w:cstheme="majorHAnsi"/>
                <w:szCs w:val="24"/>
                <w:lang w:val="hr-HR"/>
              </w:rPr>
              <w:t>:</w:t>
            </w:r>
          </w:p>
          <w:p w14:paraId="711B492E" w14:textId="77777777" w:rsidR="009903D1" w:rsidRPr="00765C4F" w:rsidRDefault="009903D1" w:rsidP="008C1448">
            <w:pPr>
              <w:widowControl w:val="0"/>
              <w:numPr>
                <w:ilvl w:val="0"/>
                <w:numId w:val="13"/>
              </w:numPr>
              <w:spacing w:after="0" w:line="240" w:lineRule="auto"/>
              <w:jc w:val="both"/>
              <w:rPr>
                <w:rFonts w:asciiTheme="majorHAnsi" w:eastAsia="Times New Roman" w:hAnsiTheme="majorHAnsi" w:cstheme="majorHAnsi"/>
                <w:szCs w:val="24"/>
                <w:lang w:val="hr-HR"/>
              </w:rPr>
            </w:pPr>
            <w:r w:rsidRPr="00765C4F">
              <w:rPr>
                <w:rFonts w:asciiTheme="majorHAnsi" w:eastAsia="Times New Roman" w:hAnsiTheme="majorHAnsi" w:cstheme="majorHAnsi"/>
                <w:szCs w:val="24"/>
                <w:lang w:val="hr-HR"/>
              </w:rPr>
              <w:t>„Jačanje kapaciteta za uspostavu Nacionalne infrastrukture prostornih podataka“ sufinanciran iz Europskog socijalnog fonda</w:t>
            </w:r>
            <w:r>
              <w:rPr>
                <w:rFonts w:asciiTheme="majorHAnsi" w:eastAsia="Times New Roman" w:hAnsiTheme="majorHAnsi" w:cstheme="majorHAnsi"/>
                <w:szCs w:val="24"/>
                <w:lang w:val="hr-HR"/>
              </w:rPr>
              <w:t>.</w:t>
            </w:r>
            <w:r w:rsidRPr="00765C4F">
              <w:rPr>
                <w:rFonts w:asciiTheme="majorHAnsi" w:eastAsia="Times New Roman" w:hAnsiTheme="majorHAnsi" w:cstheme="majorHAnsi"/>
                <w:szCs w:val="24"/>
                <w:lang w:val="hr-HR"/>
              </w:rPr>
              <w:t xml:space="preserve"> </w:t>
            </w:r>
          </w:p>
          <w:p w14:paraId="3ED36558" w14:textId="77777777" w:rsidR="009903D1" w:rsidRDefault="009903D1" w:rsidP="008C1448">
            <w:pPr>
              <w:widowControl w:val="0"/>
              <w:numPr>
                <w:ilvl w:val="0"/>
                <w:numId w:val="13"/>
              </w:numPr>
              <w:spacing w:after="0" w:line="240" w:lineRule="auto"/>
              <w:jc w:val="both"/>
              <w:rPr>
                <w:rFonts w:asciiTheme="majorHAnsi" w:eastAsia="Times New Roman" w:hAnsiTheme="majorHAnsi" w:cstheme="majorHAnsi"/>
                <w:szCs w:val="24"/>
                <w:lang w:val="hr-HR"/>
              </w:rPr>
            </w:pPr>
            <w:r w:rsidRPr="00765C4F">
              <w:rPr>
                <w:rFonts w:asciiTheme="majorHAnsi" w:eastAsia="Times New Roman" w:hAnsiTheme="majorHAnsi" w:cstheme="majorHAnsi"/>
                <w:szCs w:val="24"/>
                <w:lang w:val="hr-HR"/>
              </w:rPr>
              <w:t>„Povećanje dostupnosti prostornih podataka NIPP-a putem e-usluga“ sufinanciran iz Europskog fonda za regionalni razvoj.</w:t>
            </w:r>
          </w:p>
          <w:p w14:paraId="4EE3AFB8" w14:textId="77777777" w:rsidR="009903D1" w:rsidRPr="00D1170C" w:rsidRDefault="009903D1" w:rsidP="008C1448">
            <w:pPr>
              <w:widowControl w:val="0"/>
              <w:numPr>
                <w:ilvl w:val="0"/>
                <w:numId w:val="13"/>
              </w:numPr>
              <w:spacing w:after="0" w:line="240" w:lineRule="auto"/>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lastRenderedPageBreak/>
              <w:t>„Uspostava informacijskog sustava u funkciji jedinstvene informacijske točke i katastra infrastrukture (e-katastar infrastrukture)“</w:t>
            </w:r>
            <w:r>
              <w:rPr>
                <w:rFonts w:asciiTheme="majorHAnsi" w:eastAsia="Times New Roman" w:hAnsiTheme="majorHAnsi" w:cstheme="majorHAnsi"/>
                <w:szCs w:val="24"/>
                <w:lang w:val="hr-HR"/>
              </w:rPr>
              <w:t xml:space="preserve"> </w:t>
            </w:r>
            <w:r w:rsidRPr="00765C4F">
              <w:rPr>
                <w:rFonts w:asciiTheme="majorHAnsi" w:eastAsia="Times New Roman" w:hAnsiTheme="majorHAnsi" w:cstheme="majorHAnsi"/>
                <w:szCs w:val="24"/>
                <w:lang w:val="hr-HR"/>
              </w:rPr>
              <w:t>sufinanciran iz Europskog fonda za regionalni razvoj</w:t>
            </w:r>
            <w:r>
              <w:rPr>
                <w:rFonts w:asciiTheme="majorHAnsi" w:eastAsia="Times New Roman" w:hAnsiTheme="majorHAnsi" w:cstheme="majorHAnsi"/>
                <w:szCs w:val="24"/>
                <w:lang w:val="hr-HR"/>
              </w:rPr>
              <w:t>.</w:t>
            </w:r>
          </w:p>
          <w:p w14:paraId="0FD8FC04" w14:textId="77777777" w:rsidR="009903D1" w:rsidRPr="00D1170C" w:rsidRDefault="009903D1" w:rsidP="008C1448">
            <w:pPr>
              <w:widowControl w:val="0"/>
              <w:numPr>
                <w:ilvl w:val="0"/>
                <w:numId w:val="13"/>
              </w:numPr>
              <w:spacing w:after="0" w:line="240" w:lineRule="auto"/>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w:t>
            </w:r>
            <w:r w:rsidRPr="008C407A">
              <w:rPr>
                <w:rFonts w:asciiTheme="majorHAnsi" w:hAnsiTheme="majorHAnsi" w:cstheme="majorHAnsi"/>
                <w:lang w:val="hr-HR"/>
              </w:rPr>
              <w:t xml:space="preserve">Uspostava službenog topografsko-kartografskog informacijskog sustava koji će se koristiti kao podloga za </w:t>
            </w:r>
            <w:proofErr w:type="spellStart"/>
            <w:r w:rsidRPr="008C407A">
              <w:rPr>
                <w:rFonts w:asciiTheme="majorHAnsi" w:hAnsiTheme="majorHAnsi" w:cstheme="majorHAnsi"/>
                <w:lang w:val="hr-HR"/>
              </w:rPr>
              <w:t>geoinformacijske</w:t>
            </w:r>
            <w:proofErr w:type="spellEnd"/>
            <w:r w:rsidRPr="008C407A">
              <w:rPr>
                <w:rFonts w:asciiTheme="majorHAnsi" w:hAnsiTheme="majorHAnsi" w:cstheme="majorHAnsi"/>
                <w:lang w:val="hr-HR"/>
              </w:rPr>
              <w:t xml:space="preserve"> sustave tijela državne uprave i javnog sektora”</w:t>
            </w:r>
            <w:r>
              <w:rPr>
                <w:rFonts w:asciiTheme="majorHAnsi" w:hAnsiTheme="majorHAnsi" w:cstheme="majorHAnsi"/>
                <w:lang w:val="hr-HR"/>
              </w:rPr>
              <w:t xml:space="preserve"> </w:t>
            </w:r>
            <w:r w:rsidRPr="00765C4F">
              <w:rPr>
                <w:rFonts w:asciiTheme="majorHAnsi" w:eastAsia="Times New Roman" w:hAnsiTheme="majorHAnsi" w:cstheme="majorHAnsi"/>
                <w:szCs w:val="24"/>
                <w:lang w:val="hr-HR"/>
              </w:rPr>
              <w:t>sufinanciran iz Europskog fonda za regionalni razvoj.</w:t>
            </w:r>
          </w:p>
          <w:p w14:paraId="1248D496" w14:textId="77777777" w:rsidR="009903D1" w:rsidRPr="00D1170C" w:rsidRDefault="009903D1" w:rsidP="008C1448">
            <w:pPr>
              <w:widowControl w:val="0"/>
              <w:numPr>
                <w:ilvl w:val="0"/>
                <w:numId w:val="13"/>
              </w:numPr>
              <w:spacing w:after="0" w:line="240" w:lineRule="auto"/>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„Uspostava e-Registra zgrada“</w:t>
            </w:r>
            <w:r>
              <w:rPr>
                <w:rFonts w:asciiTheme="majorHAnsi" w:eastAsia="Times New Roman" w:hAnsiTheme="majorHAnsi" w:cstheme="majorHAnsi"/>
                <w:szCs w:val="24"/>
                <w:lang w:val="hr-HR"/>
              </w:rPr>
              <w:t xml:space="preserve"> </w:t>
            </w:r>
            <w:r w:rsidRPr="00765C4F">
              <w:rPr>
                <w:rFonts w:asciiTheme="majorHAnsi" w:eastAsia="Times New Roman" w:hAnsiTheme="majorHAnsi" w:cstheme="majorHAnsi"/>
                <w:szCs w:val="24"/>
                <w:lang w:val="hr-HR"/>
              </w:rPr>
              <w:t>sufinanciran iz Europskog fonda za regionalni razvoj.</w:t>
            </w:r>
          </w:p>
          <w:p w14:paraId="0F103BA3" w14:textId="77777777" w:rsidR="009903D1" w:rsidRDefault="009903D1" w:rsidP="008C1448">
            <w:pPr>
              <w:widowControl w:val="0"/>
              <w:numPr>
                <w:ilvl w:val="0"/>
                <w:numId w:val="13"/>
              </w:numPr>
              <w:spacing w:after="0" w:line="240" w:lineRule="auto"/>
              <w:jc w:val="both"/>
              <w:rPr>
                <w:rFonts w:asciiTheme="majorHAnsi" w:eastAsia="Times New Roman" w:hAnsiTheme="majorHAnsi" w:cstheme="majorHAnsi"/>
                <w:szCs w:val="24"/>
                <w:lang w:val="hr-HR"/>
              </w:rPr>
            </w:pPr>
            <w:r w:rsidRPr="00DF1B80">
              <w:rPr>
                <w:rFonts w:asciiTheme="majorHAnsi" w:eastAsia="Times New Roman" w:hAnsiTheme="majorHAnsi" w:cstheme="majorHAnsi"/>
                <w:szCs w:val="24"/>
                <w:lang w:val="hr-HR"/>
              </w:rPr>
              <w:t>„Upravljanje zemljišnim podacima u Republici Hrvatskoj“</w:t>
            </w:r>
            <w:r>
              <w:rPr>
                <w:rFonts w:asciiTheme="majorHAnsi" w:eastAsia="Times New Roman" w:hAnsiTheme="majorHAnsi" w:cstheme="majorHAnsi"/>
                <w:szCs w:val="24"/>
                <w:lang w:val="hr-HR"/>
              </w:rPr>
              <w:t xml:space="preserve"> </w:t>
            </w:r>
            <w:r w:rsidRPr="00765C4F">
              <w:rPr>
                <w:rFonts w:asciiTheme="majorHAnsi" w:eastAsia="Times New Roman" w:hAnsiTheme="majorHAnsi" w:cstheme="majorHAnsi"/>
                <w:szCs w:val="24"/>
                <w:lang w:val="hr-HR"/>
              </w:rPr>
              <w:t>sufinanciran iz Europskog fonda za regionalni razvoj.</w:t>
            </w:r>
          </w:p>
          <w:p w14:paraId="7CCC9814" w14:textId="77777777" w:rsidR="009903D1" w:rsidRPr="00D1170C" w:rsidRDefault="009903D1" w:rsidP="008C1448">
            <w:pPr>
              <w:widowControl w:val="0"/>
              <w:numPr>
                <w:ilvl w:val="0"/>
                <w:numId w:val="13"/>
              </w:numPr>
              <w:spacing w:after="0" w:line="240" w:lineRule="auto"/>
              <w:jc w:val="both"/>
              <w:rPr>
                <w:rFonts w:asciiTheme="majorHAnsi" w:eastAsia="Times New Roman" w:hAnsiTheme="majorHAnsi" w:cstheme="majorHAnsi"/>
                <w:szCs w:val="24"/>
                <w:lang w:val="hr-HR"/>
              </w:rPr>
            </w:pPr>
            <w:r>
              <w:rPr>
                <w:rFonts w:ascii="Calibri Light" w:hAnsi="Calibri Light" w:cs="Calibri Light"/>
                <w:lang w:val="hr-HR"/>
              </w:rPr>
              <w:t xml:space="preserve">„Informacijski sustav prostornoga uređenja (ISPU) i njegovi moduli“ </w:t>
            </w:r>
            <w:r w:rsidRPr="00765C4F">
              <w:rPr>
                <w:rFonts w:asciiTheme="majorHAnsi" w:eastAsia="Times New Roman" w:hAnsiTheme="majorHAnsi" w:cstheme="majorHAnsi"/>
                <w:szCs w:val="24"/>
                <w:lang w:val="hr-HR"/>
              </w:rPr>
              <w:t>sufinanciran iz Europskog fonda za regionalni razvoj</w:t>
            </w:r>
            <w:r>
              <w:rPr>
                <w:rFonts w:asciiTheme="majorHAnsi" w:eastAsia="Times New Roman" w:hAnsiTheme="majorHAnsi" w:cstheme="majorHAnsi"/>
                <w:szCs w:val="24"/>
                <w:lang w:val="hr-HR"/>
              </w:rPr>
              <w:t xml:space="preserve"> i Europskog socijalnog fonda.</w:t>
            </w:r>
          </w:p>
          <w:p w14:paraId="4FF33C7D" w14:textId="77777777" w:rsidR="009903D1" w:rsidRPr="00540CC3" w:rsidRDefault="009903D1" w:rsidP="008C1448">
            <w:pPr>
              <w:widowControl w:val="0"/>
              <w:numPr>
                <w:ilvl w:val="0"/>
                <w:numId w:val="13"/>
              </w:numPr>
              <w:spacing w:after="0" w:line="240" w:lineRule="auto"/>
              <w:jc w:val="both"/>
              <w:rPr>
                <w:rFonts w:asciiTheme="majorHAnsi" w:eastAsia="Times New Roman" w:hAnsiTheme="majorHAnsi" w:cstheme="majorHAnsi"/>
                <w:szCs w:val="24"/>
                <w:lang w:val="hr-HR"/>
              </w:rPr>
            </w:pPr>
            <w:r>
              <w:rPr>
                <w:rFonts w:ascii="Calibri Light" w:hAnsi="Calibri Light" w:cs="Calibri Light"/>
                <w:lang w:val="hr-HR"/>
              </w:rPr>
              <w:t xml:space="preserve">„Projekt modernizacije meteorološke motriteljske mreže u RH – METMONIC“ </w:t>
            </w:r>
            <w:r w:rsidRPr="00765C4F">
              <w:rPr>
                <w:rFonts w:asciiTheme="majorHAnsi" w:eastAsia="Times New Roman" w:hAnsiTheme="majorHAnsi" w:cstheme="majorHAnsi"/>
                <w:szCs w:val="24"/>
                <w:lang w:val="hr-HR"/>
              </w:rPr>
              <w:t>sufinanciran iz Europskog fonda za regionalni razvoj.</w:t>
            </w:r>
          </w:p>
        </w:tc>
      </w:tr>
      <w:tr w:rsidR="009903D1" w:rsidRPr="00765C4F" w14:paraId="6EE6DDCB" w14:textId="77777777" w:rsidTr="0017506F">
        <w:trPr>
          <w:trHeight w:val="355"/>
        </w:trPr>
        <w:tc>
          <w:tcPr>
            <w:tcW w:w="1983" w:type="dxa"/>
            <w:shd w:val="clear" w:color="auto" w:fill="auto"/>
            <w:noWrap/>
            <w:vAlign w:val="center"/>
          </w:tcPr>
          <w:p w14:paraId="42BA2882"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lastRenderedPageBreak/>
              <w:t>Rok provedbe</w:t>
            </w:r>
          </w:p>
        </w:tc>
        <w:tc>
          <w:tcPr>
            <w:tcW w:w="7651" w:type="dxa"/>
            <w:gridSpan w:val="4"/>
            <w:shd w:val="clear" w:color="auto" w:fill="auto"/>
            <w:vAlign w:val="center"/>
          </w:tcPr>
          <w:p w14:paraId="7AB0E24F"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31.12.2020.</w:t>
            </w:r>
          </w:p>
        </w:tc>
      </w:tr>
      <w:tr w:rsidR="009903D1" w:rsidRPr="00765C4F" w14:paraId="223BCF16" w14:textId="77777777" w:rsidTr="0017506F">
        <w:trPr>
          <w:trHeight w:val="355"/>
        </w:trPr>
        <w:tc>
          <w:tcPr>
            <w:tcW w:w="1983" w:type="dxa"/>
            <w:shd w:val="clear" w:color="auto" w:fill="auto"/>
            <w:noWrap/>
            <w:vAlign w:val="center"/>
          </w:tcPr>
          <w:p w14:paraId="29D7A092"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Iznos planiranih i utrošenih sredstava</w:t>
            </w:r>
          </w:p>
        </w:tc>
        <w:tc>
          <w:tcPr>
            <w:tcW w:w="4391" w:type="dxa"/>
            <w:shd w:val="clear" w:color="auto" w:fill="auto"/>
            <w:vAlign w:val="center"/>
          </w:tcPr>
          <w:p w14:paraId="5037C333"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Planirano: 8.480.000,00 kn</w:t>
            </w:r>
          </w:p>
        </w:tc>
        <w:tc>
          <w:tcPr>
            <w:tcW w:w="3260" w:type="dxa"/>
            <w:gridSpan w:val="3"/>
            <w:shd w:val="clear" w:color="auto" w:fill="auto"/>
            <w:vAlign w:val="center"/>
          </w:tcPr>
          <w:p w14:paraId="06486448"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Utrošeno: 1.</w:t>
            </w:r>
            <w:r>
              <w:rPr>
                <w:rFonts w:asciiTheme="majorHAnsi" w:eastAsia="Times New Roman" w:hAnsiTheme="majorHAnsi" w:cstheme="majorHAnsi"/>
                <w:bCs/>
                <w:iCs/>
                <w:szCs w:val="24"/>
                <w:lang w:val="hr-HR" w:eastAsia="hr-HR"/>
              </w:rPr>
              <w:t>262</w:t>
            </w:r>
            <w:r w:rsidRPr="00765C4F">
              <w:rPr>
                <w:rFonts w:asciiTheme="majorHAnsi" w:eastAsia="Times New Roman" w:hAnsiTheme="majorHAnsi" w:cstheme="majorHAnsi"/>
                <w:bCs/>
                <w:iCs/>
                <w:szCs w:val="24"/>
                <w:lang w:val="hr-HR" w:eastAsia="hr-HR"/>
              </w:rPr>
              <w:t>.</w:t>
            </w:r>
            <w:r>
              <w:rPr>
                <w:rFonts w:asciiTheme="majorHAnsi" w:eastAsia="Times New Roman" w:hAnsiTheme="majorHAnsi" w:cstheme="majorHAnsi"/>
                <w:bCs/>
                <w:iCs/>
                <w:szCs w:val="24"/>
                <w:lang w:val="hr-HR" w:eastAsia="hr-HR"/>
              </w:rPr>
              <w:t>177</w:t>
            </w:r>
            <w:r w:rsidRPr="00765C4F">
              <w:rPr>
                <w:rFonts w:asciiTheme="majorHAnsi" w:eastAsia="Times New Roman" w:hAnsiTheme="majorHAnsi" w:cstheme="majorHAnsi"/>
                <w:bCs/>
                <w:iCs/>
                <w:szCs w:val="24"/>
                <w:lang w:val="hr-HR" w:eastAsia="hr-HR"/>
              </w:rPr>
              <w:t>,</w:t>
            </w:r>
            <w:r>
              <w:rPr>
                <w:rFonts w:asciiTheme="majorHAnsi" w:eastAsia="Times New Roman" w:hAnsiTheme="majorHAnsi" w:cstheme="majorHAnsi"/>
                <w:bCs/>
                <w:iCs/>
                <w:szCs w:val="24"/>
                <w:lang w:val="hr-HR" w:eastAsia="hr-HR"/>
              </w:rPr>
              <w:t>65</w:t>
            </w:r>
            <w:r w:rsidRPr="00765C4F">
              <w:rPr>
                <w:rFonts w:asciiTheme="majorHAnsi" w:eastAsia="Times New Roman" w:hAnsiTheme="majorHAnsi" w:cstheme="majorHAnsi"/>
                <w:bCs/>
                <w:iCs/>
                <w:szCs w:val="24"/>
                <w:lang w:val="hr-HR" w:eastAsia="hr-HR"/>
              </w:rPr>
              <w:t xml:space="preserve"> kn</w:t>
            </w:r>
          </w:p>
        </w:tc>
      </w:tr>
      <w:tr w:rsidR="009903D1" w:rsidRPr="00765C4F" w14:paraId="2D823CF2" w14:textId="77777777" w:rsidTr="0017506F">
        <w:trPr>
          <w:trHeight w:val="292"/>
        </w:trPr>
        <w:tc>
          <w:tcPr>
            <w:tcW w:w="1983" w:type="dxa"/>
            <w:shd w:val="clear" w:color="auto" w:fill="auto"/>
            <w:noWrap/>
            <w:vAlign w:val="center"/>
          </w:tcPr>
          <w:p w14:paraId="6B8449EB"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Izvor sredstava</w:t>
            </w:r>
          </w:p>
        </w:tc>
        <w:tc>
          <w:tcPr>
            <w:tcW w:w="7651" w:type="dxa"/>
            <w:gridSpan w:val="4"/>
            <w:shd w:val="clear" w:color="auto" w:fill="auto"/>
            <w:vAlign w:val="center"/>
          </w:tcPr>
          <w:p w14:paraId="4D14AEC9" w14:textId="77777777" w:rsidR="009903D1" w:rsidRPr="00765C4F" w:rsidRDefault="00024D34" w:rsidP="00233277">
            <w:pPr>
              <w:widowControl w:val="0"/>
              <w:spacing w:after="0" w:line="240" w:lineRule="auto"/>
              <w:jc w:val="both"/>
              <w:rPr>
                <w:rFonts w:asciiTheme="majorHAnsi" w:eastAsia="Times New Roman" w:hAnsiTheme="majorHAnsi" w:cstheme="majorHAnsi"/>
                <w:color w:val="1F4E79" w:themeColor="accent1" w:themeShade="80"/>
                <w:sz w:val="24"/>
                <w:szCs w:val="24"/>
                <w:lang w:val="hr-HR"/>
              </w:rPr>
            </w:pPr>
            <w:r w:rsidRPr="00122047">
              <w:rPr>
                <w:rFonts w:asciiTheme="majorHAnsi" w:eastAsia="Times New Roman" w:hAnsiTheme="majorHAnsi" w:cstheme="majorHAnsi"/>
                <w:bCs/>
                <w:iCs/>
                <w:szCs w:val="24"/>
                <w:lang w:val="hr-HR" w:eastAsia="hr-HR"/>
              </w:rPr>
              <w:t>Državni proračun, EU sredstva i nacionalna sredstva koja nisu u državnom proračunu</w:t>
            </w:r>
          </w:p>
        </w:tc>
      </w:tr>
      <w:tr w:rsidR="009903D1" w:rsidRPr="00765C4F" w14:paraId="49B2EC17" w14:textId="77777777" w:rsidTr="0017506F">
        <w:trPr>
          <w:trHeight w:val="292"/>
        </w:trPr>
        <w:tc>
          <w:tcPr>
            <w:tcW w:w="1983" w:type="dxa"/>
            <w:shd w:val="clear" w:color="auto" w:fill="auto"/>
            <w:noWrap/>
            <w:vAlign w:val="center"/>
          </w:tcPr>
          <w:p w14:paraId="7868E747" w14:textId="77777777" w:rsidR="009903D1" w:rsidRPr="00765C4F" w:rsidRDefault="009903D1" w:rsidP="007D4F15">
            <w:pPr>
              <w:spacing w:after="0" w:line="240" w:lineRule="auto"/>
              <w:rPr>
                <w:rFonts w:asciiTheme="majorHAnsi" w:eastAsia="Times New Roman" w:hAnsiTheme="majorHAnsi" w:cstheme="majorHAnsi"/>
                <w:bCs/>
                <w:iCs/>
                <w:szCs w:val="24"/>
                <w:lang w:val="hr-HR" w:eastAsia="hr-HR"/>
              </w:rPr>
            </w:pPr>
            <w:r w:rsidRPr="00765C4F">
              <w:rPr>
                <w:rFonts w:asciiTheme="majorHAnsi" w:eastAsia="Times New Roman" w:hAnsiTheme="majorHAnsi" w:cstheme="majorHAnsi"/>
                <w:bCs/>
                <w:iCs/>
                <w:szCs w:val="24"/>
                <w:lang w:val="hr-HR" w:eastAsia="hr-HR"/>
              </w:rPr>
              <w:t>Rezultati provedbe</w:t>
            </w:r>
          </w:p>
        </w:tc>
        <w:tc>
          <w:tcPr>
            <w:tcW w:w="7651" w:type="dxa"/>
            <w:gridSpan w:val="4"/>
            <w:shd w:val="clear" w:color="auto" w:fill="auto"/>
            <w:vAlign w:val="center"/>
          </w:tcPr>
          <w:p w14:paraId="6B7D870D" w14:textId="77777777" w:rsidR="009903D1" w:rsidRPr="00765C4F" w:rsidRDefault="009903D1" w:rsidP="007D4F15">
            <w:pPr>
              <w:spacing w:after="0" w:line="240" w:lineRule="auto"/>
              <w:rPr>
                <w:rFonts w:asciiTheme="majorHAnsi" w:eastAsia="Times New Roman" w:hAnsiTheme="majorHAnsi" w:cstheme="majorHAnsi"/>
                <w:bCs/>
                <w:iCs/>
                <w:color w:val="AEAAAA" w:themeColor="background2" w:themeShade="BF"/>
                <w:szCs w:val="24"/>
                <w:lang w:val="hr-HR" w:eastAsia="hr-HR"/>
              </w:rPr>
            </w:pPr>
            <w:r w:rsidRPr="00765C4F">
              <w:rPr>
                <w:rFonts w:asciiTheme="majorHAnsi" w:eastAsia="Times New Roman" w:hAnsiTheme="majorHAnsi" w:cstheme="majorHAnsi"/>
                <w:bCs/>
                <w:iCs/>
                <w:szCs w:val="24"/>
                <w:lang w:val="hr-HR" w:eastAsia="hr-HR"/>
              </w:rPr>
              <w:t xml:space="preserve">Cilj je većinom ispunjen, te je daljnja provedba u tijeku. </w:t>
            </w:r>
          </w:p>
        </w:tc>
      </w:tr>
    </w:tbl>
    <w:p w14:paraId="70181D9F" w14:textId="77777777" w:rsidR="003E3F0F" w:rsidRPr="00963C39" w:rsidRDefault="003E3F0F" w:rsidP="003E3F0F">
      <w:pPr>
        <w:rPr>
          <w:lang w:val="hr-HR"/>
        </w:rPr>
      </w:pPr>
    </w:p>
    <w:p w14:paraId="683552D9" w14:textId="77777777" w:rsidR="005E6F91" w:rsidRPr="00DF7D9C" w:rsidRDefault="005E6F91" w:rsidP="008C1448">
      <w:pPr>
        <w:pStyle w:val="Heading2"/>
        <w:numPr>
          <w:ilvl w:val="1"/>
          <w:numId w:val="2"/>
        </w:numPr>
        <w:rPr>
          <w:color w:val="auto"/>
        </w:rPr>
      </w:pPr>
      <w:bookmarkStart w:id="25" w:name="_Toc89761126"/>
      <w:r w:rsidRPr="00DF7D9C">
        <w:rPr>
          <w:color w:val="auto"/>
        </w:rPr>
        <w:t>Strateški cilj br. 7: Dionici NIPP-a (subjekti NIPP-a i korisnici) surađuju kroz partnerstva i druge tipove sporazuma</w:t>
      </w:r>
      <w:bookmarkEnd w:id="25"/>
    </w:p>
    <w:p w14:paraId="60B832DC" w14:textId="77777777" w:rsidR="005E6F91" w:rsidRDefault="005E6F91" w:rsidP="005E6F91">
      <w:pPr>
        <w:rPr>
          <w:lang w:val="hr-HR"/>
        </w:rPr>
      </w:pPr>
    </w:p>
    <w:tbl>
      <w:tblPr>
        <w:tblW w:w="9639"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2263"/>
        <w:gridCol w:w="3625"/>
        <w:gridCol w:w="1053"/>
        <w:gridCol w:w="1418"/>
        <w:gridCol w:w="1280"/>
      </w:tblGrid>
      <w:tr w:rsidR="00336D4F" w14:paraId="6CF37796" w14:textId="77777777" w:rsidTr="003A7020">
        <w:trPr>
          <w:trHeight w:val="1324"/>
        </w:trPr>
        <w:tc>
          <w:tcPr>
            <w:tcW w:w="2263" w:type="dxa"/>
            <w:shd w:val="clear" w:color="auto" w:fill="auto"/>
            <w:noWrap/>
            <w:vAlign w:val="center"/>
          </w:tcPr>
          <w:p w14:paraId="15840E92"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Planirani operativni ciljevi</w:t>
            </w:r>
          </w:p>
        </w:tc>
        <w:tc>
          <w:tcPr>
            <w:tcW w:w="7376" w:type="dxa"/>
            <w:gridSpan w:val="4"/>
            <w:shd w:val="clear" w:color="auto" w:fill="auto"/>
            <w:vAlign w:val="center"/>
          </w:tcPr>
          <w:p w14:paraId="062FB90E" w14:textId="77777777" w:rsidR="00336D4F" w:rsidRDefault="00336D4F" w:rsidP="00336D4F">
            <w:pPr>
              <w:pStyle w:val="ListParagraph"/>
              <w:numPr>
                <w:ilvl w:val="0"/>
                <w:numId w:val="16"/>
              </w:numPr>
              <w:spacing w:after="0" w:line="240" w:lineRule="auto"/>
              <w:ind w:left="312"/>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Sklapanje sporazuma o suradnji</w:t>
            </w:r>
          </w:p>
          <w:p w14:paraId="6FDB0288" w14:textId="77777777" w:rsidR="00336D4F" w:rsidRDefault="00336D4F" w:rsidP="00336D4F">
            <w:pPr>
              <w:pStyle w:val="ListParagraph"/>
              <w:numPr>
                <w:ilvl w:val="0"/>
                <w:numId w:val="16"/>
              </w:numPr>
              <w:spacing w:after="0" w:line="240" w:lineRule="auto"/>
              <w:ind w:left="312"/>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 xml:space="preserve">Uključivanje subjekata i njihovih </w:t>
            </w:r>
            <w:proofErr w:type="spellStart"/>
            <w:r>
              <w:rPr>
                <w:rFonts w:ascii="Calibri Light" w:eastAsia="Times New Roman" w:hAnsi="Calibri Light" w:cs="Calibri Light"/>
                <w:bCs/>
                <w:iCs/>
                <w:szCs w:val="24"/>
                <w:lang w:val="hr-HR" w:eastAsia="hr-HR"/>
              </w:rPr>
              <w:t>metapodataka</w:t>
            </w:r>
            <w:proofErr w:type="spellEnd"/>
            <w:r>
              <w:rPr>
                <w:rFonts w:ascii="Calibri Light" w:eastAsia="Times New Roman" w:hAnsi="Calibri Light" w:cs="Calibri Light"/>
                <w:bCs/>
                <w:iCs/>
                <w:szCs w:val="24"/>
                <w:lang w:val="hr-HR" w:eastAsia="hr-HR"/>
              </w:rPr>
              <w:t xml:space="preserve"> u Katalog </w:t>
            </w:r>
            <w:proofErr w:type="spellStart"/>
            <w:r>
              <w:rPr>
                <w:rFonts w:ascii="Calibri Light" w:eastAsia="Times New Roman" w:hAnsi="Calibri Light" w:cs="Calibri Light"/>
                <w:bCs/>
                <w:iCs/>
                <w:szCs w:val="24"/>
                <w:lang w:val="hr-HR" w:eastAsia="hr-HR"/>
              </w:rPr>
              <w:t>metapodataka</w:t>
            </w:r>
            <w:proofErr w:type="spellEnd"/>
            <w:r>
              <w:rPr>
                <w:rFonts w:ascii="Calibri Light" w:eastAsia="Times New Roman" w:hAnsi="Calibri Light" w:cs="Calibri Light"/>
                <w:bCs/>
                <w:iCs/>
                <w:szCs w:val="24"/>
                <w:lang w:val="hr-HR" w:eastAsia="hr-HR"/>
              </w:rPr>
              <w:t xml:space="preserve"> na </w:t>
            </w:r>
            <w:proofErr w:type="spellStart"/>
            <w:r>
              <w:rPr>
                <w:rFonts w:ascii="Calibri Light" w:eastAsia="Times New Roman" w:hAnsi="Calibri Light" w:cs="Calibri Light"/>
                <w:bCs/>
                <w:iCs/>
                <w:szCs w:val="24"/>
                <w:lang w:val="hr-HR" w:eastAsia="hr-HR"/>
              </w:rPr>
              <w:t>Geoportalu</w:t>
            </w:r>
            <w:proofErr w:type="spellEnd"/>
            <w:r>
              <w:rPr>
                <w:rFonts w:ascii="Calibri Light" w:eastAsia="Times New Roman" w:hAnsi="Calibri Light" w:cs="Calibri Light"/>
                <w:bCs/>
                <w:iCs/>
                <w:szCs w:val="24"/>
                <w:lang w:val="hr-HR" w:eastAsia="hr-HR"/>
              </w:rPr>
              <w:t xml:space="preserve"> NIPP-a</w:t>
            </w:r>
          </w:p>
          <w:p w14:paraId="3FFD214E" w14:textId="77777777" w:rsidR="00336D4F" w:rsidRDefault="00336D4F" w:rsidP="00336D4F">
            <w:pPr>
              <w:pStyle w:val="ListParagraph"/>
              <w:numPr>
                <w:ilvl w:val="0"/>
                <w:numId w:val="16"/>
              </w:numPr>
              <w:spacing w:after="0" w:line="240" w:lineRule="auto"/>
              <w:ind w:left="312"/>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Rad tijela NIPP-a</w:t>
            </w:r>
          </w:p>
        </w:tc>
      </w:tr>
      <w:tr w:rsidR="00336D4F" w14:paraId="10A59D0C" w14:textId="77777777" w:rsidTr="003A7020">
        <w:trPr>
          <w:trHeight w:val="292"/>
        </w:trPr>
        <w:tc>
          <w:tcPr>
            <w:tcW w:w="2263" w:type="dxa"/>
            <w:shd w:val="clear" w:color="auto" w:fill="auto"/>
            <w:noWrap/>
            <w:vAlign w:val="center"/>
          </w:tcPr>
          <w:p w14:paraId="533FB5EB"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Nadležna tijela</w:t>
            </w:r>
          </w:p>
        </w:tc>
        <w:tc>
          <w:tcPr>
            <w:tcW w:w="7376" w:type="dxa"/>
            <w:gridSpan w:val="4"/>
            <w:shd w:val="clear" w:color="auto" w:fill="auto"/>
            <w:vAlign w:val="center"/>
          </w:tcPr>
          <w:p w14:paraId="4E32DF19"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DGU (NKT) u suradnji sa subjektima sukladno Prilogu II. Strategije</w:t>
            </w:r>
          </w:p>
        </w:tc>
      </w:tr>
      <w:tr w:rsidR="00336D4F" w14:paraId="09948A17" w14:textId="77777777" w:rsidTr="003A7020">
        <w:trPr>
          <w:trHeight w:val="268"/>
        </w:trPr>
        <w:tc>
          <w:tcPr>
            <w:tcW w:w="2263" w:type="dxa"/>
            <w:vMerge w:val="restart"/>
            <w:shd w:val="clear" w:color="auto" w:fill="auto"/>
            <w:noWrap/>
            <w:vAlign w:val="center"/>
          </w:tcPr>
          <w:p w14:paraId="3C869C78" w14:textId="77777777" w:rsidR="00336D4F" w:rsidRDefault="00336D4F" w:rsidP="00914E02">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 xml:space="preserve">Pokazatelji </w:t>
            </w:r>
          </w:p>
        </w:tc>
        <w:tc>
          <w:tcPr>
            <w:tcW w:w="4678" w:type="dxa"/>
            <w:gridSpan w:val="2"/>
            <w:shd w:val="clear" w:color="auto" w:fill="auto"/>
            <w:vAlign w:val="center"/>
          </w:tcPr>
          <w:p w14:paraId="132D6989" w14:textId="77777777" w:rsidR="00336D4F" w:rsidRDefault="00336D4F" w:rsidP="003A7020">
            <w:pPr>
              <w:spacing w:after="0" w:line="240" w:lineRule="auto"/>
              <w:ind w:left="318" w:hanging="284"/>
              <w:rPr>
                <w:rFonts w:ascii="Calibri Light" w:eastAsia="Times New Roman" w:hAnsi="Calibri Light" w:cs="Calibri Light"/>
                <w:szCs w:val="24"/>
                <w:lang w:val="hr-HR"/>
              </w:rPr>
            </w:pPr>
          </w:p>
        </w:tc>
        <w:tc>
          <w:tcPr>
            <w:tcW w:w="1418" w:type="dxa"/>
            <w:shd w:val="clear" w:color="auto" w:fill="auto"/>
            <w:vAlign w:val="center"/>
          </w:tcPr>
          <w:p w14:paraId="50365A40" w14:textId="77777777" w:rsidR="00336D4F" w:rsidRDefault="00336D4F" w:rsidP="003A7020">
            <w:pPr>
              <w:spacing w:after="0" w:line="240" w:lineRule="auto"/>
              <w:jc w:val="center"/>
              <w:rPr>
                <w:rFonts w:ascii="Calibri Light" w:eastAsia="Times New Roman" w:hAnsi="Calibri Light" w:cs="Calibri Light"/>
                <w:szCs w:val="24"/>
                <w:lang w:val="hr-HR"/>
              </w:rPr>
            </w:pPr>
            <w:r>
              <w:rPr>
                <w:rFonts w:ascii="Calibri Light" w:eastAsia="Times New Roman" w:hAnsi="Calibri Light" w:cs="Calibri Light"/>
                <w:szCs w:val="24"/>
                <w:lang w:val="hr-HR"/>
              </w:rPr>
              <w:t>Planirano</w:t>
            </w:r>
          </w:p>
        </w:tc>
        <w:tc>
          <w:tcPr>
            <w:tcW w:w="1280" w:type="dxa"/>
            <w:shd w:val="clear" w:color="auto" w:fill="auto"/>
            <w:vAlign w:val="center"/>
          </w:tcPr>
          <w:p w14:paraId="50312CE7" w14:textId="77777777" w:rsidR="00336D4F" w:rsidRDefault="00336D4F" w:rsidP="003A7020">
            <w:pPr>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Ostvareno</w:t>
            </w:r>
          </w:p>
        </w:tc>
      </w:tr>
      <w:tr w:rsidR="00336D4F" w14:paraId="77B93977" w14:textId="77777777" w:rsidTr="003A7020">
        <w:trPr>
          <w:trHeight w:val="268"/>
        </w:trPr>
        <w:tc>
          <w:tcPr>
            <w:tcW w:w="2263" w:type="dxa"/>
            <w:vMerge/>
            <w:shd w:val="clear" w:color="auto" w:fill="auto"/>
            <w:noWrap/>
            <w:vAlign w:val="center"/>
          </w:tcPr>
          <w:p w14:paraId="2282449D" w14:textId="77777777" w:rsidR="00336D4F" w:rsidRDefault="00336D4F" w:rsidP="003A7020">
            <w:pPr>
              <w:spacing w:after="0" w:line="240" w:lineRule="auto"/>
              <w:rPr>
                <w:rFonts w:ascii="Calibri Light" w:eastAsia="Times New Roman" w:hAnsi="Calibri Light" w:cs="Calibri Light"/>
                <w:bCs/>
                <w:iCs/>
                <w:szCs w:val="24"/>
                <w:lang w:val="hr-HR" w:eastAsia="hr-HR"/>
              </w:rPr>
            </w:pPr>
          </w:p>
        </w:tc>
        <w:tc>
          <w:tcPr>
            <w:tcW w:w="4678" w:type="dxa"/>
            <w:gridSpan w:val="2"/>
            <w:shd w:val="clear" w:color="auto" w:fill="auto"/>
            <w:vAlign w:val="center"/>
          </w:tcPr>
          <w:p w14:paraId="7A8EED9C" w14:textId="77777777" w:rsidR="00336D4F" w:rsidRPr="00734A05" w:rsidRDefault="00336D4F" w:rsidP="003A7020">
            <w:pPr>
              <w:autoSpaceDE w:val="0"/>
              <w:autoSpaceDN w:val="0"/>
              <w:adjustRightInd w:val="0"/>
              <w:spacing w:after="0" w:line="240" w:lineRule="auto"/>
              <w:rPr>
                <w:rFonts w:ascii="Calibri Light" w:eastAsia="Times New Roman" w:hAnsi="Calibri Light" w:cs="Calibri Light"/>
                <w:szCs w:val="24"/>
                <w:lang w:val="hr-HR"/>
              </w:rPr>
            </w:pPr>
            <w:r>
              <w:rPr>
                <w:rFonts w:ascii="Calibri Light" w:eastAsia="Times New Roman" w:hAnsi="Calibri Light" w:cs="Calibri Light"/>
                <w:szCs w:val="24"/>
                <w:lang w:val="hr-HR"/>
              </w:rPr>
              <w:t>Broj potpisanih sporazuma o suradnji za stvaranje i razmjenu prostornih podataka</w:t>
            </w:r>
          </w:p>
        </w:tc>
        <w:tc>
          <w:tcPr>
            <w:tcW w:w="1418" w:type="dxa"/>
            <w:shd w:val="clear" w:color="auto" w:fill="auto"/>
            <w:vAlign w:val="center"/>
          </w:tcPr>
          <w:p w14:paraId="583E6AD0"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30</w:t>
            </w:r>
          </w:p>
        </w:tc>
        <w:tc>
          <w:tcPr>
            <w:tcW w:w="1280" w:type="dxa"/>
            <w:shd w:val="clear" w:color="auto" w:fill="auto"/>
            <w:vAlign w:val="center"/>
          </w:tcPr>
          <w:p w14:paraId="6D949230"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95</w:t>
            </w:r>
          </w:p>
        </w:tc>
      </w:tr>
      <w:tr w:rsidR="00336D4F" w14:paraId="2FA6B3F7" w14:textId="77777777" w:rsidTr="003A7020">
        <w:trPr>
          <w:trHeight w:val="367"/>
        </w:trPr>
        <w:tc>
          <w:tcPr>
            <w:tcW w:w="2263" w:type="dxa"/>
            <w:vMerge/>
            <w:shd w:val="clear" w:color="auto" w:fill="auto"/>
            <w:noWrap/>
            <w:vAlign w:val="center"/>
          </w:tcPr>
          <w:p w14:paraId="17DE7827" w14:textId="77777777" w:rsidR="00336D4F" w:rsidRDefault="00336D4F" w:rsidP="003A7020">
            <w:pPr>
              <w:spacing w:after="0" w:line="240" w:lineRule="auto"/>
              <w:rPr>
                <w:rFonts w:ascii="Calibri Light" w:eastAsia="Times New Roman" w:hAnsi="Calibri Light" w:cs="Calibri Light"/>
                <w:bCs/>
                <w:iCs/>
                <w:szCs w:val="24"/>
                <w:lang w:val="hr-HR" w:eastAsia="hr-HR"/>
              </w:rPr>
            </w:pPr>
          </w:p>
        </w:tc>
        <w:tc>
          <w:tcPr>
            <w:tcW w:w="4678" w:type="dxa"/>
            <w:gridSpan w:val="2"/>
            <w:shd w:val="clear" w:color="auto" w:fill="auto"/>
            <w:vAlign w:val="center"/>
          </w:tcPr>
          <w:p w14:paraId="4CB435A0" w14:textId="77777777" w:rsidR="00336D4F" w:rsidRDefault="00336D4F" w:rsidP="003A7020">
            <w:pPr>
              <w:spacing w:after="0" w:line="240" w:lineRule="auto"/>
              <w:rPr>
                <w:rFonts w:ascii="Calibri Light" w:eastAsia="Times New Roman" w:hAnsi="Calibri Light" w:cs="Calibri Light"/>
                <w:szCs w:val="24"/>
                <w:lang w:val="hr-HR"/>
              </w:rPr>
            </w:pPr>
            <w:r>
              <w:rPr>
                <w:rFonts w:ascii="Calibri Light" w:eastAsia="Times New Roman" w:hAnsi="Calibri Light" w:cs="Calibri Light"/>
                <w:szCs w:val="24"/>
                <w:lang w:val="hr-HR"/>
              </w:rPr>
              <w:t xml:space="preserve">Broj subjekata koji doprinose </w:t>
            </w:r>
            <w:proofErr w:type="spellStart"/>
            <w:r>
              <w:rPr>
                <w:rFonts w:ascii="Calibri Light" w:eastAsia="Times New Roman" w:hAnsi="Calibri Light" w:cs="Calibri Light"/>
                <w:szCs w:val="24"/>
                <w:lang w:val="hr-HR"/>
              </w:rPr>
              <w:t>Geoportalu</w:t>
            </w:r>
            <w:proofErr w:type="spellEnd"/>
            <w:r>
              <w:rPr>
                <w:rFonts w:ascii="Calibri Light" w:eastAsia="Times New Roman" w:hAnsi="Calibri Light" w:cs="Calibri Light"/>
                <w:szCs w:val="24"/>
                <w:lang w:val="hr-HR"/>
              </w:rPr>
              <w:t xml:space="preserve"> NIPP-a</w:t>
            </w:r>
          </w:p>
          <w:p w14:paraId="387A2393" w14:textId="77777777" w:rsidR="00336D4F" w:rsidRDefault="00336D4F" w:rsidP="003A7020">
            <w:pPr>
              <w:autoSpaceDE w:val="0"/>
              <w:autoSpaceDN w:val="0"/>
              <w:adjustRightInd w:val="0"/>
              <w:spacing w:after="0" w:line="240" w:lineRule="auto"/>
              <w:rPr>
                <w:rFonts w:ascii="Calibri Light" w:eastAsia="Times New Roman" w:hAnsi="Calibri Light" w:cs="Calibri Light"/>
                <w:bCs/>
                <w:iCs/>
                <w:szCs w:val="24"/>
                <w:lang w:val="hr-HR" w:eastAsia="hr-HR"/>
              </w:rPr>
            </w:pPr>
          </w:p>
        </w:tc>
        <w:tc>
          <w:tcPr>
            <w:tcW w:w="1418" w:type="dxa"/>
            <w:shd w:val="clear" w:color="auto" w:fill="auto"/>
            <w:vAlign w:val="center"/>
          </w:tcPr>
          <w:p w14:paraId="40B3A02F"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55</w:t>
            </w:r>
          </w:p>
        </w:tc>
        <w:tc>
          <w:tcPr>
            <w:tcW w:w="1280" w:type="dxa"/>
            <w:shd w:val="clear" w:color="auto" w:fill="auto"/>
            <w:vAlign w:val="center"/>
          </w:tcPr>
          <w:p w14:paraId="4615067D" w14:textId="77777777" w:rsidR="00336D4F" w:rsidRDefault="00111F55"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40</w:t>
            </w:r>
          </w:p>
        </w:tc>
      </w:tr>
      <w:tr w:rsidR="00336D4F" w14:paraId="36246657" w14:textId="77777777" w:rsidTr="003A7020">
        <w:trPr>
          <w:trHeight w:val="268"/>
        </w:trPr>
        <w:tc>
          <w:tcPr>
            <w:tcW w:w="2263" w:type="dxa"/>
            <w:vMerge/>
            <w:shd w:val="clear" w:color="auto" w:fill="auto"/>
            <w:noWrap/>
            <w:vAlign w:val="center"/>
          </w:tcPr>
          <w:p w14:paraId="2952DA4E" w14:textId="77777777" w:rsidR="00336D4F" w:rsidRDefault="00336D4F" w:rsidP="003A7020">
            <w:pPr>
              <w:spacing w:after="0" w:line="240" w:lineRule="auto"/>
              <w:rPr>
                <w:rFonts w:ascii="Calibri Light" w:eastAsia="Times New Roman" w:hAnsi="Calibri Light" w:cs="Calibri Light"/>
                <w:bCs/>
                <w:iCs/>
                <w:szCs w:val="24"/>
                <w:lang w:val="hr-HR" w:eastAsia="hr-HR"/>
              </w:rPr>
            </w:pPr>
          </w:p>
        </w:tc>
        <w:tc>
          <w:tcPr>
            <w:tcW w:w="4678" w:type="dxa"/>
            <w:gridSpan w:val="2"/>
            <w:shd w:val="clear" w:color="auto" w:fill="auto"/>
            <w:vAlign w:val="center"/>
          </w:tcPr>
          <w:p w14:paraId="6A8DB86D" w14:textId="77777777" w:rsidR="00336D4F" w:rsidRDefault="00336D4F" w:rsidP="003A7020">
            <w:pPr>
              <w:autoSpaceDE w:val="0"/>
              <w:autoSpaceDN w:val="0"/>
              <w:adjustRightInd w:val="0"/>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szCs w:val="24"/>
                <w:lang w:val="hr-HR"/>
              </w:rPr>
              <w:t>Broj sastanaka Vijeća NIPP-a</w:t>
            </w:r>
          </w:p>
        </w:tc>
        <w:tc>
          <w:tcPr>
            <w:tcW w:w="1418" w:type="dxa"/>
            <w:shd w:val="clear" w:color="auto" w:fill="auto"/>
            <w:vAlign w:val="center"/>
          </w:tcPr>
          <w:p w14:paraId="59E9227C"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25</w:t>
            </w:r>
          </w:p>
        </w:tc>
        <w:tc>
          <w:tcPr>
            <w:tcW w:w="1280" w:type="dxa"/>
            <w:shd w:val="clear" w:color="auto" w:fill="auto"/>
            <w:vAlign w:val="center"/>
          </w:tcPr>
          <w:p w14:paraId="5FDCD6AC"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20</w:t>
            </w:r>
          </w:p>
        </w:tc>
      </w:tr>
      <w:tr w:rsidR="00336D4F" w14:paraId="18CEFEF5" w14:textId="77777777" w:rsidTr="003A7020">
        <w:trPr>
          <w:trHeight w:val="268"/>
        </w:trPr>
        <w:tc>
          <w:tcPr>
            <w:tcW w:w="2263" w:type="dxa"/>
            <w:vMerge/>
            <w:shd w:val="clear" w:color="auto" w:fill="auto"/>
            <w:noWrap/>
            <w:vAlign w:val="center"/>
          </w:tcPr>
          <w:p w14:paraId="2D76F9FD" w14:textId="77777777" w:rsidR="00336D4F" w:rsidRDefault="00336D4F" w:rsidP="003A7020">
            <w:pPr>
              <w:spacing w:after="0" w:line="240" w:lineRule="auto"/>
              <w:rPr>
                <w:rFonts w:ascii="Calibri Light" w:eastAsia="Times New Roman" w:hAnsi="Calibri Light" w:cs="Calibri Light"/>
                <w:bCs/>
                <w:iCs/>
                <w:szCs w:val="24"/>
                <w:lang w:val="hr-HR" w:eastAsia="hr-HR"/>
              </w:rPr>
            </w:pPr>
          </w:p>
        </w:tc>
        <w:tc>
          <w:tcPr>
            <w:tcW w:w="4678" w:type="dxa"/>
            <w:gridSpan w:val="2"/>
            <w:shd w:val="clear" w:color="auto" w:fill="auto"/>
            <w:vAlign w:val="center"/>
          </w:tcPr>
          <w:p w14:paraId="48612558" w14:textId="77777777" w:rsidR="00336D4F" w:rsidRDefault="00336D4F" w:rsidP="003A7020">
            <w:pPr>
              <w:spacing w:after="0" w:line="240" w:lineRule="auto"/>
              <w:rPr>
                <w:rFonts w:ascii="Calibri Light" w:eastAsia="Times New Roman" w:hAnsi="Calibri Light" w:cs="Calibri Light"/>
                <w:szCs w:val="24"/>
                <w:lang w:val="hr-HR"/>
              </w:rPr>
            </w:pPr>
            <w:r>
              <w:rPr>
                <w:rFonts w:ascii="Calibri Light" w:eastAsia="Times New Roman" w:hAnsi="Calibri Light" w:cs="Calibri Light"/>
                <w:szCs w:val="24"/>
                <w:lang w:val="hr-HR"/>
              </w:rPr>
              <w:t>Broj sastanaka Odbora NIPP-a</w:t>
            </w:r>
          </w:p>
          <w:p w14:paraId="51E270EB" w14:textId="77777777" w:rsidR="00336D4F" w:rsidRDefault="00336D4F" w:rsidP="003A7020">
            <w:pPr>
              <w:autoSpaceDE w:val="0"/>
              <w:autoSpaceDN w:val="0"/>
              <w:adjustRightInd w:val="0"/>
              <w:spacing w:after="0" w:line="240" w:lineRule="auto"/>
              <w:rPr>
                <w:rFonts w:ascii="Calibri Light" w:eastAsia="Times New Roman" w:hAnsi="Calibri Light" w:cs="Calibri Light"/>
                <w:bCs/>
                <w:iCs/>
                <w:szCs w:val="24"/>
                <w:lang w:val="hr-HR" w:eastAsia="hr-HR"/>
              </w:rPr>
            </w:pPr>
          </w:p>
        </w:tc>
        <w:tc>
          <w:tcPr>
            <w:tcW w:w="1418" w:type="dxa"/>
            <w:shd w:val="clear" w:color="auto" w:fill="auto"/>
            <w:vAlign w:val="center"/>
          </w:tcPr>
          <w:p w14:paraId="7712B9F0"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31</w:t>
            </w:r>
          </w:p>
        </w:tc>
        <w:tc>
          <w:tcPr>
            <w:tcW w:w="1280" w:type="dxa"/>
            <w:shd w:val="clear" w:color="auto" w:fill="auto"/>
            <w:vAlign w:val="center"/>
          </w:tcPr>
          <w:p w14:paraId="247432D6"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13</w:t>
            </w:r>
          </w:p>
        </w:tc>
      </w:tr>
      <w:tr w:rsidR="00336D4F" w14:paraId="008F6E48" w14:textId="77777777" w:rsidTr="003A7020">
        <w:trPr>
          <w:trHeight w:val="268"/>
        </w:trPr>
        <w:tc>
          <w:tcPr>
            <w:tcW w:w="2263" w:type="dxa"/>
            <w:vMerge/>
            <w:shd w:val="clear" w:color="auto" w:fill="auto"/>
            <w:noWrap/>
            <w:vAlign w:val="center"/>
          </w:tcPr>
          <w:p w14:paraId="5817ADDB" w14:textId="77777777" w:rsidR="00336D4F" w:rsidRDefault="00336D4F" w:rsidP="003A7020">
            <w:pPr>
              <w:spacing w:after="0" w:line="240" w:lineRule="auto"/>
              <w:rPr>
                <w:rFonts w:ascii="Calibri Light" w:eastAsia="Times New Roman" w:hAnsi="Calibri Light" w:cs="Calibri Light"/>
                <w:bCs/>
                <w:iCs/>
                <w:szCs w:val="24"/>
                <w:lang w:val="hr-HR" w:eastAsia="hr-HR"/>
              </w:rPr>
            </w:pPr>
          </w:p>
        </w:tc>
        <w:tc>
          <w:tcPr>
            <w:tcW w:w="4678" w:type="dxa"/>
            <w:gridSpan w:val="2"/>
            <w:shd w:val="clear" w:color="auto" w:fill="auto"/>
            <w:vAlign w:val="center"/>
          </w:tcPr>
          <w:p w14:paraId="1F7594E2" w14:textId="77777777" w:rsidR="00336D4F" w:rsidRDefault="00336D4F" w:rsidP="003A7020">
            <w:pPr>
              <w:autoSpaceDE w:val="0"/>
              <w:autoSpaceDN w:val="0"/>
              <w:adjustRightInd w:val="0"/>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szCs w:val="24"/>
                <w:lang w:val="hr-HR"/>
              </w:rPr>
              <w:t>Broj izvještaja prema VRH o privremenom statusu</w:t>
            </w:r>
          </w:p>
        </w:tc>
        <w:tc>
          <w:tcPr>
            <w:tcW w:w="1418" w:type="dxa"/>
            <w:shd w:val="clear" w:color="auto" w:fill="auto"/>
            <w:vAlign w:val="center"/>
          </w:tcPr>
          <w:p w14:paraId="7CDD7245"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5</w:t>
            </w:r>
          </w:p>
        </w:tc>
        <w:tc>
          <w:tcPr>
            <w:tcW w:w="1280" w:type="dxa"/>
            <w:shd w:val="clear" w:color="auto" w:fill="auto"/>
            <w:vAlign w:val="center"/>
          </w:tcPr>
          <w:p w14:paraId="5675CEE8" w14:textId="77777777" w:rsidR="00336D4F" w:rsidRDefault="00336D4F" w:rsidP="003A7020">
            <w:pPr>
              <w:autoSpaceDE w:val="0"/>
              <w:autoSpaceDN w:val="0"/>
              <w:adjustRightInd w:val="0"/>
              <w:spacing w:after="0" w:line="240" w:lineRule="auto"/>
              <w:jc w:val="center"/>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5</w:t>
            </w:r>
          </w:p>
        </w:tc>
      </w:tr>
      <w:tr w:rsidR="00336D4F" w14:paraId="77B0556D" w14:textId="77777777" w:rsidTr="003A7020">
        <w:trPr>
          <w:trHeight w:val="1544"/>
        </w:trPr>
        <w:tc>
          <w:tcPr>
            <w:tcW w:w="2263" w:type="dxa"/>
            <w:shd w:val="clear" w:color="auto" w:fill="auto"/>
            <w:noWrap/>
            <w:vAlign w:val="center"/>
          </w:tcPr>
          <w:p w14:paraId="19866506" w14:textId="77777777" w:rsidR="00336D4F" w:rsidRDefault="00336D4F" w:rsidP="003A7020">
            <w:pPr>
              <w:spacing w:after="0" w:line="240" w:lineRule="auto"/>
              <w:rPr>
                <w:rFonts w:ascii="Calibri Light" w:eastAsia="Times New Roman" w:hAnsi="Calibri Light" w:cs="Calibri Light"/>
                <w:bCs/>
                <w:iCs/>
                <w:color w:val="767171"/>
                <w:szCs w:val="24"/>
                <w:lang w:val="hr-HR" w:eastAsia="hr-HR"/>
              </w:rPr>
            </w:pPr>
            <w:r>
              <w:rPr>
                <w:rFonts w:ascii="Calibri Light" w:eastAsia="Times New Roman" w:hAnsi="Calibri Light" w:cs="Calibri Light"/>
                <w:bCs/>
                <w:iCs/>
                <w:szCs w:val="24"/>
                <w:lang w:val="hr-HR" w:eastAsia="hr-HR"/>
              </w:rPr>
              <w:t>Provedene aktivnosti</w:t>
            </w:r>
          </w:p>
        </w:tc>
        <w:tc>
          <w:tcPr>
            <w:tcW w:w="7376" w:type="dxa"/>
            <w:gridSpan w:val="4"/>
            <w:shd w:val="clear" w:color="auto" w:fill="auto"/>
            <w:vAlign w:val="center"/>
          </w:tcPr>
          <w:p w14:paraId="53DE58BE" w14:textId="2CC2273A" w:rsidR="00336D4F" w:rsidRDefault="00336D4F" w:rsidP="003A7020">
            <w:pPr>
              <w:pStyle w:val="BodyText"/>
              <w:jc w:val="both"/>
              <w:rPr>
                <w:rFonts w:ascii="Calibri Light" w:eastAsia="Times New Roman" w:hAnsi="Calibri Light" w:cs="Calibri Light"/>
                <w:sz w:val="22"/>
                <w:lang w:val="hr-HR"/>
              </w:rPr>
            </w:pPr>
            <w:r>
              <w:rPr>
                <w:rFonts w:ascii="Calibri Light" w:eastAsia="Times New Roman" w:hAnsi="Calibri Light" w:cs="Calibri Light"/>
                <w:sz w:val="22"/>
                <w:lang w:val="hr-HR"/>
              </w:rPr>
              <w:t xml:space="preserve">Razlozi za suradnju tijela javne vlasti i ostalih subjekata su učinkovitije korištenje ograničenih kapaciteta, zajednički razvoj procesa, tehničkih rješenja ili projekata prikupljanja podataka. Ograničenja u kapacitetima mogu biti ljudska, tehnička i financijska. Jasno je da postoji više različitih javnih tijela koja su zadužena za pružanje podataka i mrežnih usluga za jednu </w:t>
            </w:r>
            <w:r w:rsidR="000D6F8D">
              <w:rPr>
                <w:rFonts w:ascii="Calibri Light" w:eastAsia="Times New Roman" w:hAnsi="Calibri Light" w:cs="Calibri Light"/>
                <w:sz w:val="22"/>
                <w:lang w:val="hr-HR"/>
              </w:rPr>
              <w:t xml:space="preserve">NIPP </w:t>
            </w:r>
            <w:r>
              <w:rPr>
                <w:rFonts w:ascii="Calibri Light" w:eastAsia="Times New Roman" w:hAnsi="Calibri Light" w:cs="Calibri Light"/>
                <w:sz w:val="22"/>
                <w:lang w:val="hr-HR"/>
              </w:rPr>
              <w:t>temu podataka. Takav tip suradnje i koordinacije vrlo je važan kako bi se ostvarili ciljevi navedeni u</w:t>
            </w:r>
            <w:r w:rsidR="00251517">
              <w:rPr>
                <w:rFonts w:ascii="Calibri Light" w:eastAsia="Times New Roman" w:hAnsi="Calibri Light" w:cs="Calibri Light"/>
                <w:sz w:val="22"/>
                <w:lang w:val="hr-HR"/>
              </w:rPr>
              <w:t xml:space="preserve"> Zakonu </w:t>
            </w:r>
            <w:r w:rsidR="00251517">
              <w:rPr>
                <w:rFonts w:ascii="Calibri Light" w:eastAsia="Times New Roman" w:hAnsi="Calibri Light" w:cs="Calibri Light"/>
                <w:sz w:val="22"/>
                <w:lang w:val="hr-HR"/>
              </w:rPr>
              <w:lastRenderedPageBreak/>
              <w:t xml:space="preserve">u NIPP-u </w:t>
            </w:r>
            <w:r w:rsidR="00E47500">
              <w:rPr>
                <w:rFonts w:ascii="Calibri Light" w:eastAsia="Times New Roman" w:hAnsi="Calibri Light" w:cs="Calibri Light"/>
                <w:sz w:val="22"/>
                <w:lang w:val="hr-HR"/>
              </w:rPr>
              <w:t>odnosno</w:t>
            </w:r>
            <w:r w:rsidR="00251517">
              <w:rPr>
                <w:rFonts w:ascii="Calibri Light" w:eastAsia="Times New Roman" w:hAnsi="Calibri Light" w:cs="Calibri Light"/>
                <w:sz w:val="22"/>
                <w:lang w:val="hr-HR"/>
              </w:rPr>
              <w:t xml:space="preserve"> </w:t>
            </w:r>
            <w:r>
              <w:rPr>
                <w:rFonts w:ascii="Calibri Light" w:eastAsia="Times New Roman" w:hAnsi="Calibri Light" w:cs="Calibri Light"/>
                <w:sz w:val="22"/>
                <w:lang w:val="hr-HR"/>
              </w:rPr>
              <w:t>Direktivi INSPIRE. U slučajevima gdje se podaci preklapaju treba</w:t>
            </w:r>
            <w:r w:rsidR="000D6F8D">
              <w:rPr>
                <w:rFonts w:ascii="Calibri Light" w:eastAsia="Times New Roman" w:hAnsi="Calibri Light" w:cs="Calibri Light"/>
                <w:sz w:val="22"/>
                <w:lang w:val="hr-HR"/>
              </w:rPr>
              <w:t>l</w:t>
            </w:r>
            <w:r w:rsidR="000206FE">
              <w:rPr>
                <w:rFonts w:ascii="Calibri Light" w:eastAsia="Times New Roman" w:hAnsi="Calibri Light" w:cs="Calibri Light"/>
                <w:sz w:val="22"/>
                <w:lang w:val="hr-HR"/>
              </w:rPr>
              <w:t xml:space="preserve">o je </w:t>
            </w:r>
            <w:r>
              <w:rPr>
                <w:rFonts w:ascii="Calibri Light" w:eastAsia="Times New Roman" w:hAnsi="Calibri Light" w:cs="Calibri Light"/>
                <w:sz w:val="22"/>
                <w:lang w:val="hr-HR"/>
              </w:rPr>
              <w:t xml:space="preserve">otkloniti semantičke sukobe. Potrebne su i druge vrste koordinacije, a jedan od pokazatelja odnosi se na potpisivanje sporazuma. </w:t>
            </w:r>
          </w:p>
          <w:p w14:paraId="13FF53E5" w14:textId="77777777" w:rsidR="00914E02" w:rsidRDefault="00914E02" w:rsidP="003A7020">
            <w:pPr>
              <w:pStyle w:val="BodyText"/>
              <w:jc w:val="both"/>
              <w:rPr>
                <w:rFonts w:ascii="Calibri Light" w:eastAsia="Times New Roman" w:hAnsi="Calibri Light" w:cs="Calibri Light"/>
                <w:sz w:val="22"/>
                <w:lang w:val="hr-HR"/>
              </w:rPr>
            </w:pPr>
          </w:p>
          <w:p w14:paraId="45423256" w14:textId="7D502339" w:rsidR="00336D4F" w:rsidRDefault="00336D4F" w:rsidP="003A7020">
            <w:pPr>
              <w:pStyle w:val="BodyText"/>
              <w:jc w:val="both"/>
              <w:rPr>
                <w:rFonts w:ascii="Calibri Light" w:eastAsia="Times New Roman" w:hAnsi="Calibri Light" w:cs="Calibri Light"/>
                <w:sz w:val="22"/>
                <w:lang w:val="hr-HR"/>
              </w:rPr>
            </w:pPr>
            <w:r>
              <w:rPr>
                <w:rFonts w:ascii="Calibri Light" w:eastAsia="Times New Roman" w:hAnsi="Calibri Light" w:cs="Calibri Light"/>
                <w:sz w:val="22"/>
                <w:lang w:val="hr-HR"/>
              </w:rPr>
              <w:t xml:space="preserve">Jedan od ciljeva ove Strategije je i podrška boljoj suradnji između institucija – subjekata i korisnika. Danas, sličnim tipovima podataka upravlja nekoliko različitih institucija. Precizna definicija nadležnosti institucija kroz propise i poboljšanje suradnje, uz dijeljenje podataka i troškova prikupljanja podataka, </w:t>
            </w:r>
            <w:r w:rsidR="000206FE">
              <w:rPr>
                <w:rFonts w:ascii="Calibri Light" w:eastAsia="Times New Roman" w:hAnsi="Calibri Light" w:cs="Calibri Light"/>
                <w:sz w:val="22"/>
                <w:lang w:val="hr-HR"/>
              </w:rPr>
              <w:t xml:space="preserve">dovode </w:t>
            </w:r>
            <w:r>
              <w:rPr>
                <w:rFonts w:ascii="Calibri Light" w:eastAsia="Times New Roman" w:hAnsi="Calibri Light" w:cs="Calibri Light"/>
                <w:sz w:val="22"/>
                <w:lang w:val="hr-HR"/>
              </w:rPr>
              <w:t xml:space="preserve"> do boljeg korištenja kapaciteta za ulaganja.</w:t>
            </w:r>
            <w:r>
              <w:rPr>
                <w:rFonts w:ascii="Calibri Light" w:eastAsia="Times New Roman" w:hAnsi="Calibri Light" w:cs="Calibri Light"/>
                <w:color w:val="FF0000"/>
                <w:sz w:val="22"/>
                <w:lang w:val="hr-HR"/>
              </w:rPr>
              <w:t xml:space="preserve"> </w:t>
            </w:r>
            <w:r>
              <w:rPr>
                <w:rFonts w:ascii="Calibri Light" w:eastAsia="Times New Roman" w:hAnsi="Calibri Light" w:cs="Calibri Light"/>
                <w:sz w:val="22"/>
                <w:lang w:val="hr-HR"/>
              </w:rPr>
              <w:t xml:space="preserve">U svrhu postizanja učinkovitijeg korištenja ograničenih kapaciteta (ljudskih, tehničkih ili financijskih), zajedničkog razvoja procesa, tehničkih rješenja ili projekata prikupljanja podataka, </w:t>
            </w:r>
            <w:r w:rsidR="000206FE">
              <w:rPr>
                <w:rFonts w:ascii="Calibri Light" w:eastAsia="Times New Roman" w:hAnsi="Calibri Light" w:cs="Calibri Light"/>
                <w:sz w:val="22"/>
                <w:lang w:val="hr-HR"/>
              </w:rPr>
              <w:t xml:space="preserve">bilo je </w:t>
            </w:r>
            <w:r>
              <w:rPr>
                <w:rFonts w:ascii="Calibri Light" w:eastAsia="Times New Roman" w:hAnsi="Calibri Light" w:cs="Calibri Light"/>
                <w:sz w:val="22"/>
                <w:lang w:val="hr-HR"/>
              </w:rPr>
              <w:t>potrebno</w:t>
            </w:r>
            <w:r w:rsidR="005F0189">
              <w:rPr>
                <w:rFonts w:ascii="Calibri Light" w:eastAsia="Times New Roman" w:hAnsi="Calibri Light" w:cs="Calibri Light"/>
                <w:sz w:val="22"/>
                <w:lang w:val="hr-HR"/>
              </w:rPr>
              <w:t xml:space="preserve"> </w:t>
            </w:r>
            <w:r>
              <w:rPr>
                <w:rFonts w:ascii="Calibri Light" w:eastAsia="Times New Roman" w:hAnsi="Calibri Light" w:cs="Calibri Light"/>
                <w:sz w:val="22"/>
                <w:lang w:val="hr-HR"/>
              </w:rPr>
              <w:t>ostvariti suradnju između tijela javne vlasti i ostalih subjekata.</w:t>
            </w:r>
          </w:p>
          <w:p w14:paraId="1791E549" w14:textId="77777777" w:rsidR="00336D4F" w:rsidRDefault="00336D4F" w:rsidP="003A7020">
            <w:pPr>
              <w:pStyle w:val="BodyText"/>
              <w:jc w:val="both"/>
              <w:rPr>
                <w:rFonts w:ascii="Calibri Light" w:eastAsia="Times New Roman" w:hAnsi="Calibri Light" w:cs="Calibri Light"/>
                <w:sz w:val="22"/>
                <w:lang w:val="hr-HR"/>
              </w:rPr>
            </w:pPr>
          </w:p>
          <w:p w14:paraId="5315E567" w14:textId="77777777" w:rsidR="00336D4F" w:rsidRDefault="00336D4F" w:rsidP="003A7020">
            <w:pPr>
              <w:pStyle w:val="BodyText"/>
              <w:jc w:val="both"/>
              <w:rPr>
                <w:rFonts w:ascii="Calibri Light" w:eastAsia="Times New Roman" w:hAnsi="Calibri Light" w:cs="Calibri Light"/>
                <w:sz w:val="22"/>
                <w:lang w:val="hr-HR"/>
              </w:rPr>
            </w:pPr>
            <w:r>
              <w:rPr>
                <w:rFonts w:ascii="Calibri Light" w:eastAsia="Times New Roman" w:hAnsi="Calibri Light" w:cs="Calibri Light"/>
                <w:sz w:val="22"/>
                <w:lang w:val="hr-HR"/>
              </w:rPr>
              <w:t xml:space="preserve">U izvještajnom razdoblju (2017.-2020.) ukupno je sklopljeno 90 sporazuma. Najveći broj sklopljenih sporazuma ima Državna geodetska uprava (41), a zatim slijedi Agencija za plaćanja u poljoprivredi, ribarstvu i ruralnom razvoju (31). </w:t>
            </w:r>
          </w:p>
          <w:p w14:paraId="0A0E8FFD" w14:textId="77777777" w:rsidR="00336D4F" w:rsidRDefault="00336D4F" w:rsidP="003A7020">
            <w:pPr>
              <w:pStyle w:val="BodyText"/>
              <w:jc w:val="both"/>
              <w:rPr>
                <w:rFonts w:ascii="Calibri Light" w:eastAsia="Times New Roman" w:hAnsi="Calibri Light" w:cs="Calibri Light"/>
                <w:sz w:val="22"/>
                <w:lang w:val="hr-HR"/>
              </w:rPr>
            </w:pPr>
          </w:p>
          <w:p w14:paraId="6BB6A224" w14:textId="13DBA91B" w:rsidR="00336D4F" w:rsidRDefault="00336D4F" w:rsidP="003A7020">
            <w:pPr>
              <w:pStyle w:val="BodyText"/>
              <w:jc w:val="both"/>
              <w:rPr>
                <w:rFonts w:ascii="Calibri Light" w:eastAsia="Times New Roman" w:hAnsi="Calibri Light" w:cs="Calibri Light"/>
                <w:sz w:val="22"/>
                <w:lang w:val="hr-HR"/>
              </w:rPr>
            </w:pPr>
            <w:r>
              <w:rPr>
                <w:rFonts w:ascii="Calibri Light" w:eastAsia="Times New Roman" w:hAnsi="Calibri Light" w:cs="Calibri Light"/>
                <w:sz w:val="22"/>
                <w:lang w:val="hr-HR"/>
              </w:rPr>
              <w:t>U navedenom r</w:t>
            </w:r>
            <w:r w:rsidR="00914E02">
              <w:rPr>
                <w:rFonts w:ascii="Calibri Light" w:eastAsia="Times New Roman" w:hAnsi="Calibri Light" w:cs="Calibri Light"/>
                <w:sz w:val="22"/>
                <w:lang w:val="hr-HR"/>
              </w:rPr>
              <w:t xml:space="preserve">azdoblju, ukupno je </w:t>
            </w:r>
            <w:r w:rsidR="00C859DE">
              <w:rPr>
                <w:rFonts w:ascii="Calibri Light" w:eastAsia="Times New Roman" w:hAnsi="Calibri Light" w:cs="Calibri Light"/>
                <w:sz w:val="22"/>
                <w:lang w:val="hr-HR"/>
              </w:rPr>
              <w:t>40</w:t>
            </w:r>
            <w:r w:rsidR="00914E02">
              <w:rPr>
                <w:rFonts w:ascii="Calibri Light" w:eastAsia="Times New Roman" w:hAnsi="Calibri Light" w:cs="Calibri Light"/>
                <w:sz w:val="22"/>
                <w:lang w:val="hr-HR"/>
              </w:rPr>
              <w:t xml:space="preserve"> </w:t>
            </w:r>
            <w:r>
              <w:rPr>
                <w:rFonts w:ascii="Calibri Light" w:eastAsia="Times New Roman" w:hAnsi="Calibri Light" w:cs="Calibri Light"/>
                <w:sz w:val="22"/>
                <w:lang w:val="hr-HR"/>
              </w:rPr>
              <w:t xml:space="preserve">subjekata koji doprinose </w:t>
            </w:r>
            <w:proofErr w:type="spellStart"/>
            <w:r>
              <w:rPr>
                <w:rFonts w:ascii="Calibri Light" w:eastAsia="Times New Roman" w:hAnsi="Calibri Light" w:cs="Calibri Light"/>
                <w:sz w:val="22"/>
                <w:lang w:val="hr-HR"/>
              </w:rPr>
              <w:t>Geoportalu</w:t>
            </w:r>
            <w:proofErr w:type="spellEnd"/>
            <w:r>
              <w:rPr>
                <w:rFonts w:ascii="Calibri Light" w:eastAsia="Times New Roman" w:hAnsi="Calibri Light" w:cs="Calibri Light"/>
                <w:sz w:val="22"/>
                <w:lang w:val="hr-HR"/>
              </w:rPr>
              <w:t xml:space="preserve"> NIPP-a, a novih izvora prostornih podataka </w:t>
            </w:r>
            <w:r w:rsidR="001A2846">
              <w:rPr>
                <w:rFonts w:ascii="Calibri Light" w:eastAsia="Times New Roman" w:hAnsi="Calibri Light" w:cs="Calibri Light"/>
                <w:sz w:val="22"/>
                <w:lang w:val="hr-HR"/>
              </w:rPr>
              <w:t xml:space="preserve">je </w:t>
            </w:r>
            <w:r>
              <w:rPr>
                <w:rFonts w:ascii="Calibri Light" w:eastAsia="Times New Roman" w:hAnsi="Calibri Light" w:cs="Calibri Light"/>
                <w:sz w:val="22"/>
                <w:lang w:val="hr-HR"/>
              </w:rPr>
              <w:t xml:space="preserve">288. </w:t>
            </w:r>
            <w:r w:rsidR="00C859DE">
              <w:rPr>
                <w:rFonts w:ascii="Calibri Light" w:eastAsia="Times New Roman" w:hAnsi="Calibri Light" w:cs="Calibri Light"/>
                <w:sz w:val="22"/>
                <w:lang w:val="hr-HR"/>
              </w:rPr>
              <w:t>O</w:t>
            </w:r>
            <w:r w:rsidR="001A2846">
              <w:rPr>
                <w:rFonts w:ascii="Calibri Light" w:eastAsia="Times New Roman" w:hAnsi="Calibri Light" w:cs="Calibri Light"/>
                <w:sz w:val="22"/>
                <w:lang w:val="hr-HR"/>
              </w:rPr>
              <w:t xml:space="preserve">bzirom na promjene </w:t>
            </w:r>
            <w:r w:rsidR="00C859DE">
              <w:rPr>
                <w:rFonts w:ascii="Calibri Light" w:eastAsia="Times New Roman" w:hAnsi="Calibri Light" w:cs="Calibri Light"/>
                <w:sz w:val="22"/>
                <w:lang w:val="hr-HR"/>
              </w:rPr>
              <w:t>u</w:t>
            </w:r>
            <w:r w:rsidR="001A2846">
              <w:rPr>
                <w:rFonts w:ascii="Calibri Light" w:eastAsia="Times New Roman" w:hAnsi="Calibri Light" w:cs="Calibri Light"/>
                <w:sz w:val="22"/>
                <w:lang w:val="hr-HR"/>
              </w:rPr>
              <w:t>s</w:t>
            </w:r>
            <w:r w:rsidR="00C859DE">
              <w:rPr>
                <w:rFonts w:ascii="Calibri Light" w:eastAsia="Times New Roman" w:hAnsi="Calibri Light" w:cs="Calibri Light"/>
                <w:sz w:val="22"/>
                <w:lang w:val="hr-HR"/>
              </w:rPr>
              <w:t>troja i nadležnosti te spajanja i razdvajanja minist</w:t>
            </w:r>
            <w:r w:rsidR="001A2846">
              <w:rPr>
                <w:rFonts w:ascii="Calibri Light" w:eastAsia="Times New Roman" w:hAnsi="Calibri Light" w:cs="Calibri Light"/>
                <w:sz w:val="22"/>
                <w:lang w:val="hr-HR"/>
              </w:rPr>
              <w:t>arstava i agencija, dio obrazloženja za neostvarivanje pokazatelja nalazi se i u tome. Potrebno je istaknuti da je već 2021. godine taj pokazatelj premašen te trenutno aktivno sudjeluje 58 subjekata.</w:t>
            </w:r>
            <w:r w:rsidR="00FF4216">
              <w:rPr>
                <w:rFonts w:ascii="Calibri Light" w:eastAsia="Times New Roman" w:hAnsi="Calibri Light" w:cs="Calibri Light"/>
                <w:sz w:val="22"/>
                <w:lang w:val="hr-HR"/>
              </w:rPr>
              <w:t xml:space="preserve"> Važno je napomenuti da se broj prepoznatih subjekata u periodu Strategije povećao za 521% tj. na kraju promatranog perioda iznosio je 205 subjekta u odnosu na 33 prije provede Strategije. N</w:t>
            </w:r>
            <w:r w:rsidR="00FF4216" w:rsidRPr="00FF4216">
              <w:rPr>
                <w:rFonts w:ascii="Calibri Light" w:eastAsia="Times New Roman" w:hAnsi="Calibri Light" w:cs="Calibri Light"/>
                <w:sz w:val="22"/>
                <w:lang w:val="hr-HR"/>
              </w:rPr>
              <w:t xml:space="preserve">ajvećim dijelom </w:t>
            </w:r>
            <w:r w:rsidR="00FF4216">
              <w:rPr>
                <w:rFonts w:ascii="Calibri Light" w:eastAsia="Times New Roman" w:hAnsi="Calibri Light" w:cs="Calibri Light"/>
                <w:sz w:val="22"/>
                <w:lang w:val="hr-HR"/>
              </w:rPr>
              <w:t xml:space="preserve">su to </w:t>
            </w:r>
            <w:r w:rsidR="00FF4216" w:rsidRPr="00FF4216">
              <w:rPr>
                <w:rFonts w:ascii="Calibri Light" w:eastAsia="Times New Roman" w:hAnsi="Calibri Light" w:cs="Calibri Light"/>
                <w:sz w:val="22"/>
                <w:lang w:val="hr-HR"/>
              </w:rPr>
              <w:t xml:space="preserve">jedinica lokalne i regionalne samouprave </w:t>
            </w:r>
            <w:r w:rsidR="00FF4216">
              <w:rPr>
                <w:rFonts w:ascii="Calibri Light" w:eastAsia="Times New Roman" w:hAnsi="Calibri Light" w:cs="Calibri Light"/>
                <w:sz w:val="22"/>
                <w:lang w:val="hr-HR"/>
              </w:rPr>
              <w:t xml:space="preserve">koji su prepoznati kroz </w:t>
            </w:r>
            <w:r w:rsidR="00FF4216" w:rsidRPr="00FF4216">
              <w:rPr>
                <w:rFonts w:ascii="Calibri Light" w:eastAsia="Times New Roman" w:hAnsi="Calibri Light" w:cs="Calibri Light"/>
                <w:sz w:val="22"/>
                <w:lang w:val="hr-HR"/>
              </w:rPr>
              <w:t>projekt „Jačan</w:t>
            </w:r>
            <w:r w:rsidR="006939F6">
              <w:rPr>
                <w:rFonts w:ascii="Calibri Light" w:eastAsia="Times New Roman" w:hAnsi="Calibri Light" w:cs="Calibri Light"/>
                <w:sz w:val="22"/>
                <w:lang w:val="hr-HR"/>
              </w:rPr>
              <w:t>j</w:t>
            </w:r>
            <w:r w:rsidR="00FF4216" w:rsidRPr="00FF4216">
              <w:rPr>
                <w:rFonts w:ascii="Calibri Light" w:eastAsia="Times New Roman" w:hAnsi="Calibri Light" w:cs="Calibri Light"/>
                <w:sz w:val="22"/>
                <w:lang w:val="hr-HR"/>
              </w:rPr>
              <w:t>e kapaciteta za</w:t>
            </w:r>
            <w:r w:rsidR="00FF4216">
              <w:rPr>
                <w:rFonts w:ascii="Calibri Light" w:eastAsia="Times New Roman" w:hAnsi="Calibri Light" w:cs="Calibri Light"/>
                <w:sz w:val="22"/>
                <w:lang w:val="hr-HR"/>
              </w:rPr>
              <w:t xml:space="preserve"> </w:t>
            </w:r>
            <w:r w:rsidR="00FF4216" w:rsidRPr="00FF4216">
              <w:rPr>
                <w:rFonts w:ascii="Calibri Light" w:eastAsia="Times New Roman" w:hAnsi="Calibri Light" w:cs="Calibri Light"/>
                <w:sz w:val="22"/>
                <w:lang w:val="hr-HR"/>
              </w:rPr>
              <w:t>uspostavu Nacionalne infrastrukture prostornih podataka</w:t>
            </w:r>
            <w:r w:rsidR="00FF4216">
              <w:rPr>
                <w:rFonts w:ascii="Calibri Light" w:eastAsia="Times New Roman" w:hAnsi="Calibri Light" w:cs="Calibri Light"/>
                <w:sz w:val="22"/>
                <w:lang w:val="hr-HR"/>
              </w:rPr>
              <w:t>.</w:t>
            </w:r>
          </w:p>
          <w:p w14:paraId="587738FC" w14:textId="77777777" w:rsidR="00336D4F" w:rsidRDefault="00336D4F" w:rsidP="003A7020">
            <w:pPr>
              <w:pStyle w:val="BodyText"/>
              <w:jc w:val="both"/>
              <w:rPr>
                <w:rFonts w:ascii="Calibri Light" w:eastAsia="Times New Roman" w:hAnsi="Calibri Light" w:cs="Calibri Light"/>
                <w:sz w:val="22"/>
                <w:lang w:val="hr-HR"/>
              </w:rPr>
            </w:pPr>
          </w:p>
          <w:p w14:paraId="70D209C4" w14:textId="77777777" w:rsidR="00336D4F" w:rsidRDefault="00336D4F" w:rsidP="003A7020">
            <w:pPr>
              <w:pStyle w:val="BodyText"/>
              <w:jc w:val="both"/>
              <w:rPr>
                <w:rFonts w:ascii="Calibri Light" w:eastAsia="Times New Roman" w:hAnsi="Calibri Light" w:cs="Calibri Light"/>
                <w:sz w:val="22"/>
                <w:lang w:val="hr-HR"/>
              </w:rPr>
            </w:pPr>
            <w:r>
              <w:rPr>
                <w:rFonts w:ascii="Calibri Light" w:eastAsia="Times New Roman" w:hAnsi="Calibri Light" w:cs="Calibri Light"/>
                <w:sz w:val="22"/>
                <w:lang w:val="hr-HR"/>
              </w:rPr>
              <w:t xml:space="preserve">Važan dio suradnje je dobro funkcioniranje kapaciteta koji se dijele između subjekata na nacionalnoj razini. Ti kapaciteti uključuju Geoportal i tijela NIPP-a (Vijeće NIPP-a, Odbor NIPP-a, Nacionalnu kontaktnu točku i Tematske radne skupine). Odgovarajući pokazatelj za zajedničke kapacitete kao što su Vijeće NIPP-a i Odbor NIPP-a je broj sastanaka svakog od tih tijela. </w:t>
            </w:r>
          </w:p>
          <w:p w14:paraId="44CD8576" w14:textId="77777777" w:rsidR="00336D4F" w:rsidRDefault="00336D4F" w:rsidP="003A7020">
            <w:pPr>
              <w:pStyle w:val="BodyText"/>
              <w:jc w:val="both"/>
              <w:rPr>
                <w:rFonts w:ascii="Calibri Light" w:eastAsia="Times New Roman" w:hAnsi="Calibri Light" w:cs="Calibri Light"/>
                <w:sz w:val="22"/>
                <w:lang w:val="hr-HR"/>
              </w:rPr>
            </w:pPr>
          </w:p>
          <w:p w14:paraId="1B85D104" w14:textId="77777777" w:rsidR="00336D4F" w:rsidRDefault="00336D4F" w:rsidP="006D5152">
            <w:pPr>
              <w:pStyle w:val="BodyText"/>
              <w:jc w:val="both"/>
              <w:rPr>
                <w:rFonts w:ascii="Calibri Light" w:eastAsia="Times New Roman" w:hAnsi="Calibri Light" w:cs="Calibri Light"/>
                <w:sz w:val="22"/>
                <w:lang w:val="hr-HR"/>
              </w:rPr>
            </w:pPr>
            <w:r>
              <w:rPr>
                <w:rFonts w:ascii="Calibri Light" w:eastAsia="Times New Roman" w:hAnsi="Calibri Light" w:cs="Calibri Light"/>
                <w:sz w:val="22"/>
                <w:lang w:val="hr-HR"/>
              </w:rPr>
              <w:t>U izvještajnom razdoblju, broj sastanaka Vijeća NIPP-a bio je 7, Odbora NIPP-a 3, a Radnih skupina 9. Vijeće NIPP-a je Vladi Republike Hrvatske (VRH) podnijel</w:t>
            </w:r>
            <w:r w:rsidR="006D5152">
              <w:rPr>
                <w:rFonts w:ascii="Calibri Light" w:eastAsia="Times New Roman" w:hAnsi="Calibri Light" w:cs="Calibri Light"/>
                <w:sz w:val="22"/>
                <w:lang w:val="hr-HR"/>
              </w:rPr>
              <w:t>o</w:t>
            </w:r>
            <w:r>
              <w:rPr>
                <w:rFonts w:ascii="Calibri Light" w:eastAsia="Times New Roman" w:hAnsi="Calibri Light" w:cs="Calibri Light"/>
                <w:sz w:val="22"/>
                <w:lang w:val="hr-HR"/>
              </w:rPr>
              <w:t xml:space="preserve"> 4 Izvješća o aktivnostima na uspostavi, održavanju i razvoju Nacionalne infrastrukture prostornih podataka za godine 2017., 2018., 2019., 2020. koje je V</w:t>
            </w:r>
            <w:r w:rsidR="006D5152">
              <w:rPr>
                <w:rFonts w:ascii="Calibri Light" w:eastAsia="Times New Roman" w:hAnsi="Calibri Light" w:cs="Calibri Light"/>
                <w:sz w:val="22"/>
                <w:lang w:val="hr-HR"/>
              </w:rPr>
              <w:t>lada</w:t>
            </w:r>
            <w:r>
              <w:rPr>
                <w:rFonts w:ascii="Calibri Light" w:eastAsia="Times New Roman" w:hAnsi="Calibri Light" w:cs="Calibri Light"/>
                <w:sz w:val="22"/>
                <w:lang w:val="hr-HR"/>
              </w:rPr>
              <w:t xml:space="preserve"> usvojila.</w:t>
            </w:r>
          </w:p>
        </w:tc>
      </w:tr>
      <w:tr w:rsidR="00336D4F" w14:paraId="7B742788" w14:textId="77777777" w:rsidTr="003A7020">
        <w:trPr>
          <w:trHeight w:val="292"/>
        </w:trPr>
        <w:tc>
          <w:tcPr>
            <w:tcW w:w="2263" w:type="dxa"/>
            <w:shd w:val="clear" w:color="auto" w:fill="auto"/>
            <w:noWrap/>
            <w:vAlign w:val="center"/>
          </w:tcPr>
          <w:p w14:paraId="42CA21AC"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lastRenderedPageBreak/>
              <w:t>Rok provedbe</w:t>
            </w:r>
          </w:p>
        </w:tc>
        <w:tc>
          <w:tcPr>
            <w:tcW w:w="7376" w:type="dxa"/>
            <w:gridSpan w:val="4"/>
            <w:shd w:val="clear" w:color="auto" w:fill="auto"/>
            <w:vAlign w:val="center"/>
          </w:tcPr>
          <w:p w14:paraId="5F7A8CB0"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31.12.2020.</w:t>
            </w:r>
          </w:p>
        </w:tc>
      </w:tr>
      <w:tr w:rsidR="00336D4F" w14:paraId="746AF381" w14:textId="77777777" w:rsidTr="003A7020">
        <w:trPr>
          <w:trHeight w:val="292"/>
        </w:trPr>
        <w:tc>
          <w:tcPr>
            <w:tcW w:w="2263" w:type="dxa"/>
            <w:shd w:val="clear" w:color="auto" w:fill="auto"/>
            <w:noWrap/>
            <w:vAlign w:val="center"/>
          </w:tcPr>
          <w:p w14:paraId="321D8651"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Iznos planiranih i utrošenih sredstava</w:t>
            </w:r>
          </w:p>
        </w:tc>
        <w:tc>
          <w:tcPr>
            <w:tcW w:w="3625" w:type="dxa"/>
            <w:shd w:val="clear" w:color="auto" w:fill="auto"/>
            <w:vAlign w:val="center"/>
          </w:tcPr>
          <w:p w14:paraId="31B69949"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Planirano: 0 kn</w:t>
            </w:r>
          </w:p>
        </w:tc>
        <w:tc>
          <w:tcPr>
            <w:tcW w:w="3751" w:type="dxa"/>
            <w:gridSpan w:val="3"/>
            <w:shd w:val="clear" w:color="auto" w:fill="auto"/>
            <w:vAlign w:val="center"/>
          </w:tcPr>
          <w:p w14:paraId="4523406A"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 xml:space="preserve">Utrošeno: </w:t>
            </w:r>
            <w:r w:rsidRPr="004D1436">
              <w:rPr>
                <w:rFonts w:ascii="Calibri Light" w:eastAsia="Times New Roman" w:hAnsi="Calibri Light" w:cs="Calibri Light"/>
                <w:bCs/>
                <w:iCs/>
                <w:szCs w:val="24"/>
                <w:lang w:val="hr-HR" w:eastAsia="hr-HR"/>
              </w:rPr>
              <w:t>1.54</w:t>
            </w:r>
            <w:r>
              <w:rPr>
                <w:rFonts w:ascii="Calibri Light" w:eastAsia="Times New Roman" w:hAnsi="Calibri Light" w:cs="Calibri Light"/>
                <w:bCs/>
                <w:iCs/>
                <w:szCs w:val="24"/>
                <w:lang w:val="hr-HR" w:eastAsia="hr-HR"/>
              </w:rPr>
              <w:t>0</w:t>
            </w:r>
            <w:r w:rsidRPr="004D1436">
              <w:rPr>
                <w:rFonts w:ascii="Calibri Light" w:eastAsia="Times New Roman" w:hAnsi="Calibri Light" w:cs="Calibri Light"/>
                <w:bCs/>
                <w:iCs/>
                <w:szCs w:val="24"/>
                <w:lang w:val="hr-HR" w:eastAsia="hr-HR"/>
              </w:rPr>
              <w:t>.</w:t>
            </w:r>
            <w:r>
              <w:rPr>
                <w:rFonts w:ascii="Calibri Light" w:eastAsia="Times New Roman" w:hAnsi="Calibri Light" w:cs="Calibri Light"/>
                <w:bCs/>
                <w:iCs/>
                <w:szCs w:val="24"/>
                <w:lang w:val="hr-HR" w:eastAsia="hr-HR"/>
              </w:rPr>
              <w:t>000,00 kn</w:t>
            </w:r>
            <w:r>
              <w:rPr>
                <w:rFonts w:ascii="Calibri Light" w:eastAsia="Times New Roman" w:hAnsi="Calibri Light" w:cs="Calibri Light"/>
                <w:color w:val="5B9BD5"/>
                <w:lang w:val="hr-HR"/>
              </w:rPr>
              <w:t xml:space="preserve"> </w:t>
            </w:r>
          </w:p>
        </w:tc>
      </w:tr>
      <w:tr w:rsidR="00336D4F" w14:paraId="5597B969" w14:textId="77777777" w:rsidTr="003A7020">
        <w:trPr>
          <w:trHeight w:val="292"/>
        </w:trPr>
        <w:tc>
          <w:tcPr>
            <w:tcW w:w="2263" w:type="dxa"/>
            <w:shd w:val="clear" w:color="auto" w:fill="auto"/>
            <w:noWrap/>
            <w:vAlign w:val="center"/>
          </w:tcPr>
          <w:p w14:paraId="460C8344" w14:textId="77777777" w:rsidR="00336D4F" w:rsidRDefault="00336D4F" w:rsidP="003A7020">
            <w:pPr>
              <w:spacing w:after="0" w:line="240" w:lineRule="auto"/>
              <w:rPr>
                <w:rFonts w:ascii="Calibri Light" w:eastAsia="Times New Roman" w:hAnsi="Calibri Light" w:cs="Calibri Light"/>
                <w:bCs/>
                <w:iCs/>
                <w:color w:val="767171"/>
                <w:szCs w:val="24"/>
                <w:lang w:val="hr-HR" w:eastAsia="hr-HR"/>
              </w:rPr>
            </w:pPr>
            <w:r>
              <w:rPr>
                <w:rFonts w:ascii="Calibri Light" w:eastAsia="Times New Roman" w:hAnsi="Calibri Light" w:cs="Calibri Light"/>
                <w:bCs/>
                <w:iCs/>
                <w:szCs w:val="24"/>
                <w:lang w:val="hr-HR" w:eastAsia="hr-HR"/>
              </w:rPr>
              <w:t>Izvor sredstava</w:t>
            </w:r>
          </w:p>
        </w:tc>
        <w:tc>
          <w:tcPr>
            <w:tcW w:w="7376" w:type="dxa"/>
            <w:gridSpan w:val="4"/>
            <w:shd w:val="clear" w:color="auto" w:fill="auto"/>
            <w:vAlign w:val="center"/>
          </w:tcPr>
          <w:p w14:paraId="691494A7"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 xml:space="preserve">Vlastita sredstva </w:t>
            </w:r>
          </w:p>
        </w:tc>
      </w:tr>
      <w:tr w:rsidR="00336D4F" w14:paraId="41FA6AB6" w14:textId="77777777" w:rsidTr="003A7020">
        <w:trPr>
          <w:trHeight w:val="292"/>
        </w:trPr>
        <w:tc>
          <w:tcPr>
            <w:tcW w:w="2263" w:type="dxa"/>
            <w:shd w:val="clear" w:color="auto" w:fill="auto"/>
            <w:noWrap/>
            <w:vAlign w:val="center"/>
          </w:tcPr>
          <w:p w14:paraId="38B0DCD1" w14:textId="77777777" w:rsidR="00336D4F" w:rsidRDefault="00336D4F" w:rsidP="003A7020">
            <w:pPr>
              <w:spacing w:after="0" w:line="240" w:lineRule="auto"/>
              <w:rPr>
                <w:rFonts w:ascii="Calibri Light" w:eastAsia="Times New Roman" w:hAnsi="Calibri Light" w:cs="Calibri Light"/>
                <w:bCs/>
                <w:iCs/>
                <w:szCs w:val="24"/>
                <w:lang w:val="hr-HR" w:eastAsia="hr-HR"/>
              </w:rPr>
            </w:pPr>
            <w:r>
              <w:rPr>
                <w:rFonts w:ascii="Calibri Light" w:eastAsia="Times New Roman" w:hAnsi="Calibri Light" w:cs="Calibri Light"/>
                <w:bCs/>
                <w:iCs/>
                <w:szCs w:val="24"/>
                <w:lang w:val="hr-HR" w:eastAsia="hr-HR"/>
              </w:rPr>
              <w:t>Rezultati provedbe</w:t>
            </w:r>
          </w:p>
        </w:tc>
        <w:tc>
          <w:tcPr>
            <w:tcW w:w="7376" w:type="dxa"/>
            <w:gridSpan w:val="4"/>
            <w:shd w:val="clear" w:color="auto" w:fill="auto"/>
            <w:vAlign w:val="center"/>
          </w:tcPr>
          <w:p w14:paraId="74141870" w14:textId="77777777" w:rsidR="00336D4F" w:rsidRPr="00844343" w:rsidRDefault="00336D4F" w:rsidP="003A7020">
            <w:pPr>
              <w:spacing w:after="0" w:line="240" w:lineRule="auto"/>
              <w:rPr>
                <w:rFonts w:ascii="Calibri Light" w:eastAsia="Times New Roman" w:hAnsi="Calibri Light" w:cs="Calibri Light"/>
                <w:bCs/>
                <w:iCs/>
                <w:szCs w:val="24"/>
                <w:lang w:val="hr-HR" w:eastAsia="hr-HR"/>
              </w:rPr>
            </w:pPr>
            <w:r w:rsidRPr="00844343">
              <w:rPr>
                <w:rFonts w:ascii="Calibri Light" w:eastAsia="Times New Roman" w:hAnsi="Calibri Light" w:cs="Calibri Light"/>
                <w:bCs/>
                <w:iCs/>
                <w:szCs w:val="24"/>
                <w:lang w:val="hr-HR" w:eastAsia="hr-HR"/>
              </w:rPr>
              <w:t>Cilj je većinom ispunjen te je daljnja provedba u tijeku.</w:t>
            </w:r>
          </w:p>
        </w:tc>
      </w:tr>
    </w:tbl>
    <w:p w14:paraId="3EDCA2DB" w14:textId="77777777" w:rsidR="00FF74CB" w:rsidRDefault="00FF74CB">
      <w:pPr>
        <w:rPr>
          <w:rFonts w:asciiTheme="majorHAnsi" w:eastAsiaTheme="majorEastAsia" w:hAnsiTheme="majorHAnsi" w:cstheme="majorBidi"/>
          <w:color w:val="767171" w:themeColor="background2" w:themeShade="80"/>
          <w:sz w:val="24"/>
          <w:szCs w:val="26"/>
          <w:lang w:val="hr-HR"/>
        </w:rPr>
      </w:pPr>
      <w:r>
        <w:br w:type="page"/>
      </w:r>
    </w:p>
    <w:p w14:paraId="31608420" w14:textId="77777777" w:rsidR="00D20C38" w:rsidRPr="00F80B02" w:rsidRDefault="00D20C38" w:rsidP="008C1448">
      <w:pPr>
        <w:pStyle w:val="Heading1"/>
        <w:numPr>
          <w:ilvl w:val="0"/>
          <w:numId w:val="14"/>
        </w:numPr>
        <w:ind w:left="426"/>
      </w:pPr>
      <w:bookmarkStart w:id="26" w:name="_Toc89761127"/>
      <w:r w:rsidRPr="00F80B02">
        <w:lastRenderedPageBreak/>
        <w:t>Zaključak</w:t>
      </w:r>
      <w:bookmarkEnd w:id="26"/>
    </w:p>
    <w:p w14:paraId="5EB98DEC" w14:textId="77777777" w:rsidR="00D20C38" w:rsidRDefault="00CD393E" w:rsidP="00CD393E">
      <w:pPr>
        <w:tabs>
          <w:tab w:val="left" w:pos="1545"/>
        </w:tabs>
        <w:rPr>
          <w:lang w:val="hr-HR"/>
        </w:rPr>
      </w:pPr>
      <w:r>
        <w:rPr>
          <w:lang w:val="hr-HR"/>
        </w:rPr>
        <w:tab/>
      </w:r>
    </w:p>
    <w:p w14:paraId="0F868FD2" w14:textId="77777777" w:rsidR="00CC0647" w:rsidRDefault="00A357CC" w:rsidP="003C1659">
      <w:pPr>
        <w:jc w:val="both"/>
        <w:rPr>
          <w:lang w:val="hr-HR"/>
        </w:rPr>
      </w:pPr>
      <w:r>
        <w:rPr>
          <w:lang w:val="hr-HR"/>
        </w:rPr>
        <w:t>Republika Hrvatska ulaže velike napore kako bi rad javne uprave bio transparent</w:t>
      </w:r>
      <w:r w:rsidR="006E5388">
        <w:rPr>
          <w:lang w:val="hr-HR"/>
        </w:rPr>
        <w:t>a</w:t>
      </w:r>
      <w:r>
        <w:rPr>
          <w:lang w:val="hr-HR"/>
        </w:rPr>
        <w:t>n i efikas</w:t>
      </w:r>
      <w:r w:rsidR="006E5388">
        <w:rPr>
          <w:lang w:val="hr-HR"/>
        </w:rPr>
        <w:t>an</w:t>
      </w:r>
      <w:r>
        <w:rPr>
          <w:lang w:val="hr-HR"/>
        </w:rPr>
        <w:t>. Nacionalna infrastruktura prostornih podataka daje svoj doprinos kada su u pitanju prostorni podaci. Strategija Nacionalne infrastrukture prostornih podataka 2020. i Strateški plan Nacionalne infrastrukture prostornih podatka za razdoblje 2017.</w:t>
      </w:r>
      <w:r w:rsidR="006E5388">
        <w:rPr>
          <w:lang w:val="hr-HR"/>
        </w:rPr>
        <w:t xml:space="preserve"> </w:t>
      </w:r>
      <w:r>
        <w:rPr>
          <w:lang w:val="hr-HR"/>
        </w:rPr>
        <w:t>-</w:t>
      </w:r>
      <w:r w:rsidR="006E5388">
        <w:rPr>
          <w:lang w:val="hr-HR"/>
        </w:rPr>
        <w:t xml:space="preserve"> </w:t>
      </w:r>
      <w:r>
        <w:rPr>
          <w:lang w:val="hr-HR"/>
        </w:rPr>
        <w:t>2020. predstavljali su strateški okvir za promatrano razdoblje.</w:t>
      </w:r>
    </w:p>
    <w:p w14:paraId="38483325" w14:textId="02B43661" w:rsidR="00CC0647" w:rsidRPr="00BA15D4" w:rsidRDefault="00CC0647" w:rsidP="00CC0647">
      <w:pPr>
        <w:jc w:val="both"/>
        <w:rPr>
          <w:lang w:val="hr-HR"/>
        </w:rPr>
      </w:pPr>
      <w:r>
        <w:rPr>
          <w:lang w:val="hr-HR"/>
        </w:rPr>
        <w:t xml:space="preserve">U promatranom razdoblju Vladi Republike Hrvatske dostavljana su redovita, godišnja </w:t>
      </w:r>
      <w:r w:rsidRPr="00BA15D4">
        <w:rPr>
          <w:lang w:val="hr-HR"/>
        </w:rPr>
        <w:t>Izvješć</w:t>
      </w:r>
      <w:r w:rsidR="006939F6">
        <w:rPr>
          <w:lang w:val="hr-HR"/>
        </w:rPr>
        <w:t>a</w:t>
      </w:r>
      <w:r w:rsidRPr="00BA15D4">
        <w:rPr>
          <w:lang w:val="hr-HR"/>
        </w:rPr>
        <w:t xml:space="preserve"> o aktivnostima na uspostavi, održavanju i razvoju Nacionalne infrastrukture prostornih podataka za </w:t>
      </w:r>
      <w:r>
        <w:rPr>
          <w:lang w:val="hr-HR"/>
        </w:rPr>
        <w:t>tekuću</w:t>
      </w:r>
      <w:r w:rsidRPr="00BA15D4">
        <w:rPr>
          <w:lang w:val="hr-HR"/>
        </w:rPr>
        <w:t xml:space="preserve"> </w:t>
      </w:r>
      <w:r>
        <w:rPr>
          <w:lang w:val="hr-HR"/>
        </w:rPr>
        <w:t>g</w:t>
      </w:r>
      <w:r w:rsidRPr="00BA15D4">
        <w:rPr>
          <w:lang w:val="hr-HR"/>
        </w:rPr>
        <w:t>odinu.</w:t>
      </w:r>
    </w:p>
    <w:p w14:paraId="44DEF3B3" w14:textId="33BB4E52" w:rsidR="00526911" w:rsidRDefault="00A357CC" w:rsidP="003C1659">
      <w:pPr>
        <w:jc w:val="both"/>
        <w:rPr>
          <w:lang w:val="hr-HR"/>
        </w:rPr>
      </w:pPr>
      <w:r>
        <w:rPr>
          <w:lang w:val="hr-HR"/>
        </w:rPr>
        <w:t>Napori</w:t>
      </w:r>
      <w:r w:rsidR="007B535F">
        <w:rPr>
          <w:lang w:val="hr-HR"/>
        </w:rPr>
        <w:t xml:space="preserve"> svih subjekata, tijela javne vlasti koja u svojoj nadležnosti imaju prostorne podatke, u provedbi ciljeva Strategije rezultirali su realiz</w:t>
      </w:r>
      <w:r w:rsidR="00CC0647">
        <w:rPr>
          <w:lang w:val="hr-HR"/>
        </w:rPr>
        <w:t>acijom velikog broja aktivnosti</w:t>
      </w:r>
      <w:r w:rsidR="007B535F">
        <w:rPr>
          <w:lang w:val="hr-HR"/>
        </w:rPr>
        <w:t xml:space="preserve"> </w:t>
      </w:r>
      <w:r w:rsidR="00CC0647">
        <w:rPr>
          <w:lang w:val="hr-HR"/>
        </w:rPr>
        <w:t>iz</w:t>
      </w:r>
      <w:r w:rsidR="00B24AFE">
        <w:rPr>
          <w:lang w:val="hr-HR"/>
        </w:rPr>
        <w:t xml:space="preserve"> </w:t>
      </w:r>
      <w:r w:rsidR="007B535F">
        <w:rPr>
          <w:lang w:val="hr-HR"/>
        </w:rPr>
        <w:t xml:space="preserve">strateških ciljeva. Od </w:t>
      </w:r>
      <w:r w:rsidR="002C66BD">
        <w:rPr>
          <w:lang w:val="hr-HR"/>
        </w:rPr>
        <w:t>sedam</w:t>
      </w:r>
      <w:r w:rsidR="00B24AFE">
        <w:rPr>
          <w:lang w:val="hr-HR"/>
        </w:rPr>
        <w:t xml:space="preserve"> strateških </w:t>
      </w:r>
      <w:r w:rsidR="00C2123B">
        <w:rPr>
          <w:lang w:val="hr-HR"/>
        </w:rPr>
        <w:t>ciljeva jedan je realiziran u potpunosti, dva</w:t>
      </w:r>
      <w:r w:rsidR="00B24AFE">
        <w:rPr>
          <w:lang w:val="hr-HR"/>
        </w:rPr>
        <w:t xml:space="preserve"> su </w:t>
      </w:r>
      <w:r w:rsidR="00CC0647">
        <w:rPr>
          <w:lang w:val="hr-HR"/>
        </w:rPr>
        <w:t>realizirana u visokom postotku</w:t>
      </w:r>
      <w:r w:rsidR="00C2123B">
        <w:rPr>
          <w:lang w:val="hr-HR"/>
        </w:rPr>
        <w:t xml:space="preserve"> (90</w:t>
      </w:r>
      <w:r w:rsidR="00B3607A">
        <w:rPr>
          <w:lang w:val="hr-HR"/>
        </w:rPr>
        <w:t>%</w:t>
      </w:r>
      <w:r w:rsidR="00C2123B">
        <w:rPr>
          <w:lang w:val="hr-HR"/>
        </w:rPr>
        <w:t xml:space="preserve"> i više)</w:t>
      </w:r>
      <w:r w:rsidR="00B24AFE">
        <w:rPr>
          <w:lang w:val="hr-HR"/>
        </w:rPr>
        <w:t xml:space="preserve">, </w:t>
      </w:r>
      <w:r w:rsidR="00C2123B">
        <w:rPr>
          <w:lang w:val="hr-HR"/>
        </w:rPr>
        <w:t xml:space="preserve">tri u zadovoljavajućem postotku (više od 50%) </w:t>
      </w:r>
      <w:r w:rsidR="00B24AFE">
        <w:rPr>
          <w:lang w:val="hr-HR"/>
        </w:rPr>
        <w:t xml:space="preserve">dok je </w:t>
      </w:r>
      <w:r w:rsidR="00C2123B">
        <w:rPr>
          <w:lang w:val="hr-HR"/>
        </w:rPr>
        <w:t>Strateški cilj 6. na realizaciji do 50%.</w:t>
      </w:r>
      <w:r w:rsidR="00B24AFE">
        <w:rPr>
          <w:lang w:val="hr-H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2123B" w14:paraId="54402C94" w14:textId="77777777" w:rsidTr="00001FF2">
        <w:tc>
          <w:tcPr>
            <w:tcW w:w="9350" w:type="dxa"/>
          </w:tcPr>
          <w:p w14:paraId="3837EB07" w14:textId="77777777" w:rsidR="00C2123B" w:rsidRDefault="00C2123B" w:rsidP="00001FF2">
            <w:pPr>
              <w:jc w:val="both"/>
              <w:rPr>
                <w:lang w:val="hr-HR"/>
              </w:rPr>
            </w:pPr>
            <w:r>
              <w:rPr>
                <w:noProof/>
                <w:lang w:val="hr-HR" w:eastAsia="hr-HR"/>
              </w:rPr>
              <w:drawing>
                <wp:inline distT="0" distB="0" distL="0" distR="0" wp14:anchorId="79918E08" wp14:editId="1247DDA0">
                  <wp:extent cx="5943600" cy="3093720"/>
                  <wp:effectExtent l="0" t="0" r="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C2123B" w14:paraId="08977703" w14:textId="77777777" w:rsidTr="00001FF2">
        <w:tc>
          <w:tcPr>
            <w:tcW w:w="9350" w:type="dxa"/>
          </w:tcPr>
          <w:p w14:paraId="3CFB1D15" w14:textId="77777777" w:rsidR="00C2123B" w:rsidRDefault="00594709" w:rsidP="00001FF2">
            <w:pPr>
              <w:jc w:val="both"/>
              <w:rPr>
                <w:lang w:val="hr-HR"/>
              </w:rPr>
            </w:pPr>
            <w:r>
              <w:rPr>
                <w:lang w:val="hr-HR"/>
              </w:rPr>
              <w:t>Slika 1</w:t>
            </w:r>
            <w:r w:rsidR="00C2123B">
              <w:rPr>
                <w:lang w:val="hr-HR"/>
              </w:rPr>
              <w:t>. Postotak ostvarenost</w:t>
            </w:r>
            <w:r w:rsidR="002C66BD">
              <w:rPr>
                <w:lang w:val="hr-HR"/>
              </w:rPr>
              <w:t>i</w:t>
            </w:r>
            <w:r w:rsidR="00C2123B">
              <w:rPr>
                <w:lang w:val="hr-HR"/>
              </w:rPr>
              <w:t xml:space="preserve"> strateških ciljeva.</w:t>
            </w:r>
          </w:p>
        </w:tc>
      </w:tr>
    </w:tbl>
    <w:p w14:paraId="35BD7366" w14:textId="77777777" w:rsidR="00594709" w:rsidRDefault="00594709" w:rsidP="003C1659">
      <w:pPr>
        <w:jc w:val="both"/>
        <w:rPr>
          <w:lang w:val="hr-HR"/>
        </w:rPr>
      </w:pPr>
    </w:p>
    <w:p w14:paraId="33CDCD16" w14:textId="06E44C89" w:rsidR="00F04954" w:rsidRPr="00F04954" w:rsidRDefault="00F04954" w:rsidP="003C1659">
      <w:pPr>
        <w:jc w:val="both"/>
        <w:rPr>
          <w:lang w:val="hr-HR"/>
        </w:rPr>
      </w:pPr>
      <w:r>
        <w:rPr>
          <w:lang w:val="hr-HR"/>
        </w:rPr>
        <w:t>S</w:t>
      </w:r>
      <w:r w:rsidRPr="00F04954">
        <w:rPr>
          <w:lang w:val="hr-HR"/>
        </w:rPr>
        <w:t xml:space="preserve">veukupno u provedbu aktivnosti uloženo </w:t>
      </w:r>
      <w:r>
        <w:rPr>
          <w:lang w:val="hr-HR"/>
        </w:rPr>
        <w:t xml:space="preserve">je </w:t>
      </w:r>
      <w:r w:rsidRPr="00F04954">
        <w:rPr>
          <w:lang w:val="hr-HR"/>
        </w:rPr>
        <w:t xml:space="preserve">više sredstva od planiranih. Naime, određeni subjekti, kako na nacionalnoj tako i na lokalnoj razini, uložili su veća sredstva od prvotno planiranih i to u razvoj novih  informacijskih sustava koji u trenutku izrade Strategije nisu postajali ili </w:t>
      </w:r>
      <w:r w:rsidR="00B807CA">
        <w:rPr>
          <w:lang w:val="hr-HR"/>
        </w:rPr>
        <w:t xml:space="preserve">u </w:t>
      </w:r>
      <w:r w:rsidRPr="00F04954">
        <w:rPr>
          <w:lang w:val="hr-HR"/>
        </w:rPr>
        <w:t>nadogradnju postojećih sustava koji su direktno vezani za aktivnosti iz područja nacionalne infrastrukture prostornih podataka te koji su direktno ili indirektno doprinijeli ostvarenju pokazatelja iz Strategije</w:t>
      </w:r>
      <w:r>
        <w:rPr>
          <w:lang w:val="hr-HR"/>
        </w:rPr>
        <w:t>.</w:t>
      </w:r>
      <w:r w:rsidR="00B807CA">
        <w:rPr>
          <w:lang w:val="hr-HR"/>
        </w:rPr>
        <w:t xml:space="preserve"> </w:t>
      </w:r>
      <w:r w:rsidR="00B807CA" w:rsidRPr="00B807CA">
        <w:rPr>
          <w:lang w:val="hr-HR"/>
        </w:rPr>
        <w:t>Izvor financiranja za navedene aktivnosti bila su sredstva državnog proračuna, proračuna jedinice lokalne samouprave ili druga nacionalna sredstva koja nisu u državnom proračunu (javni sektor)</w:t>
      </w:r>
      <w:r w:rsidR="00B807CA">
        <w:rPr>
          <w:lang w:val="hr-HR"/>
        </w:rPr>
        <w:t>.</w:t>
      </w:r>
    </w:p>
    <w:p w14:paraId="4000EA92" w14:textId="587C4E1E" w:rsidR="00A357CC" w:rsidRDefault="00520669" w:rsidP="003C1659">
      <w:pPr>
        <w:jc w:val="both"/>
        <w:rPr>
          <w:lang w:val="hr-HR"/>
        </w:rPr>
      </w:pPr>
      <w:r w:rsidRPr="00F50BD4">
        <w:rPr>
          <w:b/>
          <w:lang w:val="hr-HR"/>
        </w:rPr>
        <w:t xml:space="preserve">Krajnji cilj </w:t>
      </w:r>
      <w:r w:rsidR="00F1325D" w:rsidRPr="00F50BD4">
        <w:rPr>
          <w:b/>
          <w:lang w:val="hr-HR"/>
        </w:rPr>
        <w:t>NIPP je učiniti prostorne podatke svih tijela javne vlasti dostupnim za korištenje putem mrežnih usluga</w:t>
      </w:r>
      <w:r w:rsidR="00F1325D">
        <w:rPr>
          <w:lang w:val="hr-HR"/>
        </w:rPr>
        <w:t xml:space="preserve"> i sve aktivnosti u okviru Strategije su bile usmjerene da direktno ili indirektno podrže </w:t>
      </w:r>
      <w:r w:rsidR="00F1325D">
        <w:rPr>
          <w:lang w:val="hr-HR"/>
        </w:rPr>
        <w:lastRenderedPageBreak/>
        <w:t xml:space="preserve">ostvarivanje tog cilja. </w:t>
      </w:r>
      <w:r w:rsidR="00526911">
        <w:rPr>
          <w:lang w:val="hr-HR"/>
        </w:rPr>
        <w:t xml:space="preserve">Iz </w:t>
      </w:r>
      <w:r w:rsidR="00EB2F5E">
        <w:rPr>
          <w:lang w:val="hr-HR"/>
        </w:rPr>
        <w:t xml:space="preserve">prikaza na slici </w:t>
      </w:r>
      <w:r w:rsidR="00594709">
        <w:rPr>
          <w:lang w:val="hr-HR"/>
        </w:rPr>
        <w:t>2</w:t>
      </w:r>
      <w:r w:rsidR="00EB2F5E">
        <w:rPr>
          <w:lang w:val="hr-HR"/>
        </w:rPr>
        <w:t xml:space="preserve">. evidentan je porast </w:t>
      </w:r>
      <w:r w:rsidR="00144C79">
        <w:rPr>
          <w:lang w:val="hr-HR"/>
        </w:rPr>
        <w:t xml:space="preserve">sveukupnog (kumulativnog) </w:t>
      </w:r>
      <w:r w:rsidR="00EB2F5E">
        <w:rPr>
          <w:lang w:val="hr-HR"/>
        </w:rPr>
        <w:t>broja mrežnih usluga (</w:t>
      </w:r>
      <w:r w:rsidR="00F127A1">
        <w:rPr>
          <w:lang w:val="hr-HR"/>
        </w:rPr>
        <w:t>442</w:t>
      </w:r>
      <w:r w:rsidR="00EB2F5E">
        <w:rPr>
          <w:lang w:val="hr-HR"/>
        </w:rPr>
        <w:t>%) nad prostornim podacima u odnosu na  razdoblje 2013</w:t>
      </w:r>
      <w:r w:rsidR="006A07DE">
        <w:rPr>
          <w:lang w:val="hr-HR"/>
        </w:rPr>
        <w:t>.</w:t>
      </w:r>
      <w:r w:rsidR="00EB2F5E">
        <w:rPr>
          <w:lang w:val="hr-HR"/>
        </w:rPr>
        <w:t>-</w:t>
      </w:r>
      <w:r w:rsidR="006A07DE">
        <w:rPr>
          <w:lang w:val="hr-HR"/>
        </w:rPr>
        <w:t xml:space="preserve"> </w:t>
      </w:r>
      <w:r w:rsidR="00EB2F5E">
        <w:rPr>
          <w:lang w:val="hr-HR"/>
        </w:rPr>
        <w:t>2016.</w:t>
      </w:r>
      <w:r w:rsidR="000474D5">
        <w:rPr>
          <w:lang w:val="hr-HR"/>
        </w:rPr>
        <w:t xml:space="preserve"> koji su bili dostupni putem </w:t>
      </w:r>
      <w:proofErr w:type="spellStart"/>
      <w:r w:rsidR="000474D5">
        <w:rPr>
          <w:lang w:val="hr-HR"/>
        </w:rPr>
        <w:t>Geoportala</w:t>
      </w:r>
      <w:proofErr w:type="spellEnd"/>
      <w:r w:rsidR="000474D5">
        <w:rPr>
          <w:lang w:val="hr-HR"/>
        </w:rPr>
        <w:t xml:space="preserve"> NIPP-a.</w:t>
      </w:r>
      <w:r w:rsidR="00EB2F5E">
        <w:rPr>
          <w:lang w:val="hr-HR"/>
        </w:rPr>
        <w:t xml:space="preserve"> Uočljiv je i </w:t>
      </w:r>
      <w:r w:rsidR="00CE7969">
        <w:rPr>
          <w:lang w:val="hr-HR"/>
        </w:rPr>
        <w:t xml:space="preserve">porast </w:t>
      </w:r>
      <w:r w:rsidR="00EB2F5E">
        <w:rPr>
          <w:lang w:val="hr-HR"/>
        </w:rPr>
        <w:t>sveukupn</w:t>
      </w:r>
      <w:r w:rsidR="00CE7969">
        <w:rPr>
          <w:lang w:val="hr-HR"/>
        </w:rPr>
        <w:t>og</w:t>
      </w:r>
      <w:r w:rsidR="00144C79">
        <w:rPr>
          <w:lang w:val="hr-HR"/>
        </w:rPr>
        <w:t xml:space="preserve">, kumulativnog, </w:t>
      </w:r>
      <w:r w:rsidR="00EB2F5E">
        <w:rPr>
          <w:lang w:val="hr-HR"/>
        </w:rPr>
        <w:t xml:space="preserve"> broj zapisa </w:t>
      </w:r>
      <w:r w:rsidR="00CE7969">
        <w:rPr>
          <w:lang w:val="hr-HR"/>
        </w:rPr>
        <w:t>(</w:t>
      </w:r>
      <w:r w:rsidR="008A03CA">
        <w:rPr>
          <w:lang w:val="hr-HR"/>
        </w:rPr>
        <w:t>273</w:t>
      </w:r>
      <w:r w:rsidR="00CE7969">
        <w:rPr>
          <w:lang w:val="hr-HR"/>
        </w:rPr>
        <w:t xml:space="preserve">%). </w:t>
      </w:r>
      <w:r w:rsidR="00144C79">
        <w:rPr>
          <w:lang w:val="hr-HR"/>
        </w:rPr>
        <w:t>Samo p</w:t>
      </w:r>
      <w:r w:rsidR="001E281D">
        <w:rPr>
          <w:lang w:val="hr-HR"/>
        </w:rPr>
        <w:t xml:space="preserve">ovećanje u odnosu na prethodno promatrani period kod mrežnih usluga iznosi čak </w:t>
      </w:r>
      <w:r w:rsidR="00F127A1">
        <w:rPr>
          <w:lang w:val="hr-HR"/>
        </w:rPr>
        <w:t>342</w:t>
      </w:r>
      <w:r w:rsidR="001E281D">
        <w:rPr>
          <w:lang w:val="hr-HR"/>
        </w:rPr>
        <w:t xml:space="preserve">%, dok je kod skupova i nizova ta brojka 97%. U konačnici </w:t>
      </w:r>
      <w:r w:rsidR="006A07DE">
        <w:rPr>
          <w:lang w:val="hr-HR"/>
        </w:rPr>
        <w:t xml:space="preserve">sveukupan broj zapisa u Katalogu </w:t>
      </w:r>
      <w:proofErr w:type="spellStart"/>
      <w:r w:rsidR="006A07DE">
        <w:rPr>
          <w:lang w:val="hr-HR"/>
        </w:rPr>
        <w:t>metapodataka</w:t>
      </w:r>
      <w:proofErr w:type="spellEnd"/>
      <w:r w:rsidR="006A07DE">
        <w:rPr>
          <w:lang w:val="hr-HR"/>
        </w:rPr>
        <w:t xml:space="preserve"> bio je na</w:t>
      </w:r>
      <w:r w:rsidR="00397733">
        <w:rPr>
          <w:lang w:val="hr-HR"/>
        </w:rPr>
        <w:t xml:space="preserve"> kraju promatranog razdoblja 459</w:t>
      </w:r>
      <w:r w:rsidR="006A07DE">
        <w:rPr>
          <w:lang w:val="hr-HR"/>
        </w:rPr>
        <w:t>, u odnosu na vrijednost s početka provedbe Strategije 168, što iznosi povećanje od 171%.</w:t>
      </w:r>
      <w:r w:rsidR="001E281D">
        <w:rPr>
          <w:lang w:val="hr-HR"/>
        </w:rPr>
        <w:t xml:space="preserve"> </w:t>
      </w:r>
      <w:r w:rsidR="0047181A">
        <w:rPr>
          <w:lang w:val="hr-HR"/>
        </w:rPr>
        <w:t>A</w:t>
      </w:r>
      <w:r w:rsidR="00B24AFE">
        <w:rPr>
          <w:lang w:val="hr-HR"/>
        </w:rPr>
        <w:t xml:space="preserve">ktivnosti iz istih </w:t>
      </w:r>
      <w:r w:rsidR="006A07DE">
        <w:rPr>
          <w:lang w:val="hr-HR"/>
        </w:rPr>
        <w:t xml:space="preserve">i dalje se </w:t>
      </w:r>
      <w:r w:rsidR="00B24AFE">
        <w:rPr>
          <w:lang w:val="hr-HR"/>
        </w:rPr>
        <w:t>nastavljaju realizir</w:t>
      </w:r>
      <w:r w:rsidR="0047181A">
        <w:rPr>
          <w:lang w:val="hr-HR"/>
        </w:rPr>
        <w:t>ati, te je zamjetno da se već u 2021. godini ponovno vidi napredak.</w:t>
      </w:r>
      <w:r w:rsidR="008D0733">
        <w:rPr>
          <w:lang w:val="hr-H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94709" w14:paraId="1E8EFBB1" w14:textId="77777777" w:rsidTr="00001FF2">
        <w:tc>
          <w:tcPr>
            <w:tcW w:w="9350" w:type="dxa"/>
          </w:tcPr>
          <w:p w14:paraId="7E33A6B2" w14:textId="6D190C22" w:rsidR="00594709" w:rsidRDefault="00EE0E5D" w:rsidP="00001FF2">
            <w:pPr>
              <w:jc w:val="center"/>
              <w:rPr>
                <w:lang w:val="hr-HR"/>
              </w:rPr>
            </w:pPr>
            <w:r>
              <w:rPr>
                <w:noProof/>
                <w:lang w:val="hr-HR" w:eastAsia="hr-HR"/>
              </w:rPr>
              <w:drawing>
                <wp:inline distT="0" distB="0" distL="0" distR="0" wp14:anchorId="74F36F9B" wp14:editId="3A0D85DE">
                  <wp:extent cx="3876675" cy="2009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94709" w14:paraId="21FBB7B8" w14:textId="77777777" w:rsidTr="00001FF2">
        <w:tc>
          <w:tcPr>
            <w:tcW w:w="9350" w:type="dxa"/>
          </w:tcPr>
          <w:p w14:paraId="6E5A870C" w14:textId="77777777" w:rsidR="00594709" w:rsidRDefault="00594709" w:rsidP="00001FF2">
            <w:pPr>
              <w:jc w:val="both"/>
              <w:rPr>
                <w:lang w:val="hr-HR"/>
              </w:rPr>
            </w:pPr>
            <w:r>
              <w:rPr>
                <w:lang w:val="hr-HR"/>
              </w:rPr>
              <w:t xml:space="preserve">Slika 2: Usporedba brojeva izvora na </w:t>
            </w:r>
            <w:proofErr w:type="spellStart"/>
            <w:r>
              <w:rPr>
                <w:lang w:val="hr-HR"/>
              </w:rPr>
              <w:t>geoportalu</w:t>
            </w:r>
            <w:proofErr w:type="spellEnd"/>
            <w:r>
              <w:rPr>
                <w:lang w:val="hr-HR"/>
              </w:rPr>
              <w:t xml:space="preserve"> s periodom prije Strategije</w:t>
            </w:r>
          </w:p>
        </w:tc>
      </w:tr>
    </w:tbl>
    <w:p w14:paraId="50C3D819" w14:textId="77777777" w:rsidR="00594709" w:rsidRDefault="00594709" w:rsidP="003C1659">
      <w:pPr>
        <w:jc w:val="both"/>
        <w:rPr>
          <w:lang w:val="hr-HR"/>
        </w:rPr>
      </w:pPr>
    </w:p>
    <w:p w14:paraId="04461126" w14:textId="77777777" w:rsidR="0047181A" w:rsidRDefault="00EE67C4" w:rsidP="003C1659">
      <w:pPr>
        <w:jc w:val="both"/>
        <w:rPr>
          <w:lang w:val="hr-HR"/>
        </w:rPr>
      </w:pPr>
      <w:r>
        <w:rPr>
          <w:lang w:val="hr-HR"/>
        </w:rPr>
        <w:t xml:space="preserve">U samom Katalogu </w:t>
      </w:r>
      <w:proofErr w:type="spellStart"/>
      <w:r>
        <w:rPr>
          <w:lang w:val="hr-HR"/>
        </w:rPr>
        <w:t>metapodataka</w:t>
      </w:r>
      <w:proofErr w:type="spellEnd"/>
      <w:r>
        <w:rPr>
          <w:lang w:val="hr-HR"/>
        </w:rPr>
        <w:t xml:space="preserve"> NIPP-a</w:t>
      </w:r>
      <w:r w:rsidR="00594709">
        <w:rPr>
          <w:lang w:val="hr-HR"/>
        </w:rPr>
        <w:t>, slika 3</w:t>
      </w:r>
      <w:r w:rsidR="008D0733">
        <w:rPr>
          <w:lang w:val="hr-HR"/>
        </w:rPr>
        <w:t>.,</w:t>
      </w:r>
      <w:r>
        <w:rPr>
          <w:lang w:val="hr-HR"/>
        </w:rPr>
        <w:t xml:space="preserve"> vidljivo je da se najveći skok </w:t>
      </w:r>
      <w:r w:rsidR="006E5388">
        <w:rPr>
          <w:lang w:val="hr-HR"/>
        </w:rPr>
        <w:t>dogodio</w:t>
      </w:r>
      <w:r>
        <w:rPr>
          <w:lang w:val="hr-HR"/>
        </w:rPr>
        <w:t xml:space="preserve"> 2019. godine te je te godine najviše novo upisanih i</w:t>
      </w:r>
      <w:r w:rsidR="008D0733">
        <w:rPr>
          <w:lang w:val="hr-HR"/>
        </w:rPr>
        <w:t xml:space="preserve">zvora i mrežnih usluga.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181A" w14:paraId="723D4FD7" w14:textId="77777777" w:rsidTr="0047181A">
        <w:tc>
          <w:tcPr>
            <w:tcW w:w="9350" w:type="dxa"/>
          </w:tcPr>
          <w:p w14:paraId="0F0C9F06" w14:textId="77777777" w:rsidR="0047181A" w:rsidRDefault="0047181A" w:rsidP="0047181A">
            <w:pPr>
              <w:jc w:val="center"/>
              <w:rPr>
                <w:lang w:val="hr-HR"/>
              </w:rPr>
            </w:pPr>
            <w:r>
              <w:rPr>
                <w:noProof/>
                <w:lang w:val="hr-HR" w:eastAsia="hr-HR"/>
              </w:rPr>
              <w:drawing>
                <wp:inline distT="0" distB="0" distL="0" distR="0" wp14:anchorId="690BA3A0" wp14:editId="7E9122B6">
                  <wp:extent cx="4572000" cy="2545690"/>
                  <wp:effectExtent l="0" t="0" r="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47181A" w14:paraId="15B9998E" w14:textId="77777777" w:rsidTr="0047181A">
        <w:tc>
          <w:tcPr>
            <w:tcW w:w="9350" w:type="dxa"/>
          </w:tcPr>
          <w:p w14:paraId="352CE0D2" w14:textId="77777777" w:rsidR="0047181A" w:rsidRDefault="0047181A" w:rsidP="00594709">
            <w:pPr>
              <w:jc w:val="both"/>
              <w:rPr>
                <w:lang w:val="hr-HR"/>
              </w:rPr>
            </w:pPr>
            <w:r>
              <w:rPr>
                <w:lang w:val="hr-HR"/>
              </w:rPr>
              <w:t>S</w:t>
            </w:r>
            <w:r w:rsidR="00EE67C4">
              <w:rPr>
                <w:lang w:val="hr-HR"/>
              </w:rPr>
              <w:t xml:space="preserve">lika </w:t>
            </w:r>
            <w:r w:rsidR="00594709">
              <w:rPr>
                <w:lang w:val="hr-HR"/>
              </w:rPr>
              <w:t>3</w:t>
            </w:r>
            <w:r>
              <w:rPr>
                <w:lang w:val="hr-HR"/>
              </w:rPr>
              <w:t xml:space="preserve">. Pregled zapisa u Katalogu </w:t>
            </w:r>
            <w:proofErr w:type="spellStart"/>
            <w:r>
              <w:rPr>
                <w:lang w:val="hr-HR"/>
              </w:rPr>
              <w:t>metapodataka</w:t>
            </w:r>
            <w:proofErr w:type="spellEnd"/>
            <w:r>
              <w:rPr>
                <w:lang w:val="hr-HR"/>
              </w:rPr>
              <w:t xml:space="preserve"> NIPP-a</w:t>
            </w:r>
          </w:p>
        </w:tc>
      </w:tr>
    </w:tbl>
    <w:p w14:paraId="0C449815" w14:textId="77777777" w:rsidR="00282749" w:rsidRDefault="00282749" w:rsidP="003C1659">
      <w:pPr>
        <w:jc w:val="both"/>
        <w:rPr>
          <w:lang w:val="hr-HR"/>
        </w:rPr>
      </w:pPr>
    </w:p>
    <w:p w14:paraId="3E8B19A6" w14:textId="064FBBA9" w:rsidR="00444297" w:rsidRDefault="00444297" w:rsidP="003C1659">
      <w:pPr>
        <w:jc w:val="both"/>
        <w:rPr>
          <w:lang w:val="hr-HR"/>
        </w:rPr>
      </w:pPr>
      <w:r w:rsidRPr="00444297">
        <w:rPr>
          <w:lang w:val="hr-HR"/>
        </w:rPr>
        <w:t xml:space="preserve">Polazna točka za ostvarivanje ovog strateškog cilja bila je </w:t>
      </w:r>
      <w:r w:rsidR="006E5388">
        <w:rPr>
          <w:lang w:val="hr-HR"/>
        </w:rPr>
        <w:t>intenzivno</w:t>
      </w:r>
      <w:r w:rsidR="00AF01D6">
        <w:rPr>
          <w:lang w:val="hr-HR"/>
        </w:rPr>
        <w:t xml:space="preserve"> </w:t>
      </w:r>
      <w:r w:rsidRPr="00444297">
        <w:rPr>
          <w:lang w:val="hr-HR"/>
        </w:rPr>
        <w:t>uključivanje jedinica lokalne i područne (regionalne) samouprave u NIPP</w:t>
      </w:r>
      <w:r w:rsidR="00AF01D6">
        <w:rPr>
          <w:lang w:val="hr-HR"/>
        </w:rPr>
        <w:t>, a samim time i njihovih izvora. Tu smo se suočili s višestrukim</w:t>
      </w:r>
      <w:r w:rsidRPr="00444297">
        <w:rPr>
          <w:lang w:val="hr-HR"/>
        </w:rPr>
        <w:t xml:space="preserve"> preprek</w:t>
      </w:r>
      <w:r w:rsidR="00AF01D6">
        <w:rPr>
          <w:lang w:val="hr-HR"/>
        </w:rPr>
        <w:t>ama</w:t>
      </w:r>
      <w:r w:rsidRPr="00444297">
        <w:rPr>
          <w:lang w:val="hr-HR"/>
        </w:rPr>
        <w:t xml:space="preserve"> kao što su pitanje nadležnosti nad izvorima te postojanje tehničkih, ljudskih i </w:t>
      </w:r>
      <w:r w:rsidR="006E5388">
        <w:rPr>
          <w:lang w:val="hr-HR"/>
        </w:rPr>
        <w:t>financijskih</w:t>
      </w:r>
      <w:r w:rsidR="006E5388" w:rsidRPr="00444297">
        <w:rPr>
          <w:lang w:val="hr-HR"/>
        </w:rPr>
        <w:t xml:space="preserve"> </w:t>
      </w:r>
      <w:r w:rsidRPr="00444297">
        <w:rPr>
          <w:lang w:val="hr-HR"/>
        </w:rPr>
        <w:lastRenderedPageBreak/>
        <w:t>kapaciteta za ostvarivanje obveza zadanih Zakonom o NIPP-u.</w:t>
      </w:r>
      <w:r>
        <w:rPr>
          <w:lang w:val="hr-HR"/>
        </w:rPr>
        <w:t xml:space="preserve"> </w:t>
      </w:r>
      <w:r w:rsidR="00AF01D6">
        <w:rPr>
          <w:lang w:val="hr-HR"/>
        </w:rPr>
        <w:t xml:space="preserve">Također je važno spomenuti da su aktivnosti vezane za njihovo uključivanje bile direktno vezane i za provedbu projekta „Jačanje kapaciteta za uspostavu Nacionalne infrastrukture prostornih podataka“ </w:t>
      </w:r>
      <w:r w:rsidR="00F819BE">
        <w:rPr>
          <w:lang w:val="hr-HR"/>
        </w:rPr>
        <w:t xml:space="preserve">čije potpisivanje je prolongirano za </w:t>
      </w:r>
      <w:r w:rsidR="00AF01D6">
        <w:rPr>
          <w:lang w:val="hr-HR"/>
        </w:rPr>
        <w:t xml:space="preserve">gotovo dvije godine od planiranog početka. </w:t>
      </w:r>
      <w:r w:rsidR="00F50BD4">
        <w:rPr>
          <w:lang w:val="hr-HR"/>
        </w:rPr>
        <w:t>T</w:t>
      </w:r>
      <w:r w:rsidR="00AF01D6">
        <w:rPr>
          <w:lang w:val="hr-HR"/>
        </w:rPr>
        <w:t xml:space="preserve">ijekom same provedbe suočili smo se i s okolnostima uzrokovanim </w:t>
      </w:r>
      <w:proofErr w:type="spellStart"/>
      <w:r w:rsidR="00AF01D6">
        <w:rPr>
          <w:lang w:val="hr-HR"/>
        </w:rPr>
        <w:t>pandemijom</w:t>
      </w:r>
      <w:proofErr w:type="spellEnd"/>
      <w:r w:rsidR="00AF01D6">
        <w:rPr>
          <w:lang w:val="hr-HR"/>
        </w:rPr>
        <w:t xml:space="preserve"> koji su uvjetovali odgodu i promjenu načina realizacije aktivnosti. Posljedično su te aktivnosti odrađene u 2021. godini što je rezultiralo mjerljivim pomakom u broju novih subjekata kao i novih izvora u Registrima subjekata i Registrima izvora NIPP-a.</w:t>
      </w:r>
    </w:p>
    <w:p w14:paraId="7963BBBC" w14:textId="77777777" w:rsidR="007E70AB" w:rsidRDefault="00C831F0" w:rsidP="007E70AB">
      <w:pPr>
        <w:jc w:val="both"/>
        <w:rPr>
          <w:lang w:val="hr-HR"/>
        </w:rPr>
      </w:pPr>
      <w:r>
        <w:rPr>
          <w:lang w:val="hr-HR"/>
        </w:rPr>
        <w:t>Tijekom radionice održane povodom provedbe</w:t>
      </w:r>
      <w:r w:rsidR="003D38DD">
        <w:rPr>
          <w:lang w:val="hr-HR"/>
        </w:rPr>
        <w:t xml:space="preserve"> Strategije </w:t>
      </w:r>
      <w:r w:rsidR="007E70AB">
        <w:rPr>
          <w:lang w:val="hr-HR"/>
        </w:rPr>
        <w:t>kojoj je prisustvovalo 40</w:t>
      </w:r>
      <w:r w:rsidR="00EA1DDA">
        <w:rPr>
          <w:lang w:val="hr-HR"/>
        </w:rPr>
        <w:t>-</w:t>
      </w:r>
      <w:r>
        <w:rPr>
          <w:lang w:val="hr-HR"/>
        </w:rPr>
        <w:t>ak</w:t>
      </w:r>
      <w:r w:rsidR="007E70AB">
        <w:rPr>
          <w:lang w:val="hr-HR"/>
        </w:rPr>
        <w:t xml:space="preserve"> sudionika</w:t>
      </w:r>
      <w:r>
        <w:rPr>
          <w:lang w:val="hr-HR"/>
        </w:rPr>
        <w:t xml:space="preserve">, predstavnika subjekata NIPP-a, </w:t>
      </w:r>
      <w:r w:rsidR="007E70AB">
        <w:rPr>
          <w:lang w:val="hr-HR"/>
        </w:rPr>
        <w:t>r</w:t>
      </w:r>
      <w:r w:rsidR="003D38DD">
        <w:rPr>
          <w:lang w:val="hr-HR"/>
        </w:rPr>
        <w:t>aspravljalo se i</w:t>
      </w:r>
      <w:r w:rsidR="007E70AB">
        <w:rPr>
          <w:lang w:val="hr-HR"/>
        </w:rPr>
        <w:t xml:space="preserve"> o problemima s kojima se subjekti susreću</w:t>
      </w:r>
      <w:r>
        <w:rPr>
          <w:lang w:val="hr-HR"/>
        </w:rPr>
        <w:t xml:space="preserve">. </w:t>
      </w:r>
      <w:r w:rsidR="003D38DD">
        <w:rPr>
          <w:lang w:val="hr-HR"/>
        </w:rPr>
        <w:t xml:space="preserve"> </w:t>
      </w:r>
      <w:r>
        <w:rPr>
          <w:lang w:val="hr-HR"/>
        </w:rPr>
        <w:t>T</w:t>
      </w:r>
      <w:r w:rsidR="003D38DD">
        <w:rPr>
          <w:lang w:val="hr-HR"/>
        </w:rPr>
        <w:t xml:space="preserve">ada </w:t>
      </w:r>
      <w:r>
        <w:rPr>
          <w:lang w:val="hr-HR"/>
        </w:rPr>
        <w:t xml:space="preserve">su </w:t>
      </w:r>
      <w:r w:rsidR="00520234">
        <w:rPr>
          <w:lang w:val="hr-HR"/>
        </w:rPr>
        <w:t>za veliki broj njih</w:t>
      </w:r>
      <w:r w:rsidR="00A01047">
        <w:rPr>
          <w:lang w:val="hr-HR"/>
        </w:rPr>
        <w:t xml:space="preserve"> </w:t>
      </w:r>
      <w:r w:rsidR="003D38DD">
        <w:rPr>
          <w:lang w:val="hr-HR"/>
        </w:rPr>
        <w:t xml:space="preserve">prepoznati </w:t>
      </w:r>
      <w:r w:rsidR="00520234">
        <w:rPr>
          <w:lang w:val="hr-HR"/>
        </w:rPr>
        <w:t xml:space="preserve">sljedeći izazovi u provedbi Strategije: </w:t>
      </w:r>
      <w:r w:rsidR="007E70AB">
        <w:rPr>
          <w:lang w:val="hr-HR"/>
        </w:rPr>
        <w:t xml:space="preserve">nedostatak ljudskih i financijskih kapaciteta, </w:t>
      </w:r>
      <w:r w:rsidR="00A01047">
        <w:rPr>
          <w:lang w:val="hr-HR"/>
        </w:rPr>
        <w:t>te zakonodavne</w:t>
      </w:r>
      <w:r w:rsidR="007E70AB">
        <w:rPr>
          <w:lang w:val="hr-HR"/>
        </w:rPr>
        <w:t xml:space="preserve"> preprek</w:t>
      </w:r>
      <w:r w:rsidR="00A01047">
        <w:rPr>
          <w:lang w:val="hr-HR"/>
        </w:rPr>
        <w:t>e</w:t>
      </w:r>
      <w:r w:rsidR="007E70AB">
        <w:rPr>
          <w:lang w:val="hr-HR"/>
        </w:rPr>
        <w:t xml:space="preserve"> u objavi određenih izvora. </w:t>
      </w:r>
      <w:r w:rsidR="00D06C43">
        <w:rPr>
          <w:lang w:val="hr-HR"/>
        </w:rPr>
        <w:t>Također je istaknuta važnost podrške upravljačkih razina (</w:t>
      </w:r>
      <w:proofErr w:type="spellStart"/>
      <w:r w:rsidR="00D06C43">
        <w:rPr>
          <w:lang w:val="hr-HR"/>
        </w:rPr>
        <w:t>menagmenta</w:t>
      </w:r>
      <w:proofErr w:type="spellEnd"/>
      <w:r w:rsidR="00D06C43">
        <w:rPr>
          <w:lang w:val="hr-HR"/>
        </w:rPr>
        <w:t xml:space="preserve">) navedenih subjekata, koja je u pojedinim slučajevima izostajala, te otežavala provedbu pojedinih aktivnosti. </w:t>
      </w:r>
      <w:r w:rsidR="007E70AB">
        <w:rPr>
          <w:lang w:val="hr-HR"/>
        </w:rPr>
        <w:t xml:space="preserve">Iako su mnoge institucije radile na otklanjanju navedenih prepreka, one su se u mnogočemu odrazile na rezultate provedbe Strategije.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A3465" w14:paraId="41AF8DCC" w14:textId="77777777" w:rsidTr="007D4F15">
        <w:tc>
          <w:tcPr>
            <w:tcW w:w="9350" w:type="dxa"/>
          </w:tcPr>
          <w:tbl>
            <w:tblPr>
              <w:tblW w:w="8664"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262"/>
              <w:gridCol w:w="1701"/>
              <w:gridCol w:w="1701"/>
            </w:tblGrid>
            <w:tr w:rsidR="00DA3465" w:rsidRPr="00594709" w14:paraId="0BD4EB39" w14:textId="77777777" w:rsidTr="00CE766B">
              <w:trPr>
                <w:trHeight w:val="292"/>
                <w:jc w:val="center"/>
              </w:trPr>
              <w:tc>
                <w:tcPr>
                  <w:tcW w:w="5262" w:type="dxa"/>
                  <w:shd w:val="clear" w:color="auto" w:fill="auto"/>
                  <w:vAlign w:val="center"/>
                </w:tcPr>
                <w:p w14:paraId="0226119D" w14:textId="77777777" w:rsidR="00DA3465" w:rsidRPr="00594709" w:rsidRDefault="00DA3465" w:rsidP="007D4F15">
                  <w:pPr>
                    <w:spacing w:after="0" w:line="240" w:lineRule="auto"/>
                    <w:jc w:val="both"/>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Pokazatelj</w:t>
                  </w:r>
                </w:p>
              </w:tc>
              <w:tc>
                <w:tcPr>
                  <w:tcW w:w="1701" w:type="dxa"/>
                  <w:shd w:val="clear" w:color="auto" w:fill="auto"/>
                  <w:vAlign w:val="center"/>
                </w:tcPr>
                <w:p w14:paraId="097E6052" w14:textId="77777777" w:rsidR="00DA3465" w:rsidRPr="00594709" w:rsidRDefault="00DA3465" w:rsidP="007D4F15">
                  <w:pPr>
                    <w:spacing w:after="0" w:line="240" w:lineRule="auto"/>
                    <w:jc w:val="both"/>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Planirano</w:t>
                  </w:r>
                </w:p>
              </w:tc>
              <w:tc>
                <w:tcPr>
                  <w:tcW w:w="1701" w:type="dxa"/>
                  <w:shd w:val="clear" w:color="auto" w:fill="auto"/>
                  <w:vAlign w:val="center"/>
                </w:tcPr>
                <w:p w14:paraId="5041EAAE" w14:textId="77777777" w:rsidR="00DA3465" w:rsidRPr="00594709" w:rsidRDefault="00DA3465" w:rsidP="007D4F15">
                  <w:pPr>
                    <w:spacing w:after="0" w:line="240" w:lineRule="auto"/>
                    <w:jc w:val="both"/>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Ostvareno</w:t>
                  </w:r>
                </w:p>
              </w:tc>
            </w:tr>
            <w:tr w:rsidR="00DA3465" w:rsidRPr="00594709" w14:paraId="715E297F" w14:textId="77777777" w:rsidTr="00CE766B">
              <w:trPr>
                <w:trHeight w:val="292"/>
                <w:jc w:val="center"/>
              </w:trPr>
              <w:tc>
                <w:tcPr>
                  <w:tcW w:w="5262" w:type="dxa"/>
                  <w:shd w:val="clear" w:color="auto" w:fill="auto"/>
                  <w:vAlign w:val="center"/>
                </w:tcPr>
                <w:p w14:paraId="0250A1FB" w14:textId="77777777" w:rsidR="00DA3465" w:rsidRPr="00594709" w:rsidRDefault="00DA3465" w:rsidP="007D4F15">
                  <w:pPr>
                    <w:spacing w:after="0" w:line="240" w:lineRule="auto"/>
                    <w:ind w:left="360"/>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Broj identificiranih skupova prostornih podataka</w:t>
                  </w:r>
                </w:p>
              </w:tc>
              <w:tc>
                <w:tcPr>
                  <w:tcW w:w="1701" w:type="dxa"/>
                  <w:shd w:val="clear" w:color="auto" w:fill="auto"/>
                  <w:vAlign w:val="center"/>
                </w:tcPr>
                <w:p w14:paraId="6A62DD78" w14:textId="77777777" w:rsidR="00DA3465" w:rsidRPr="00594709" w:rsidRDefault="00DA3465" w:rsidP="007D4F15">
                  <w:pPr>
                    <w:spacing w:after="0" w:line="240" w:lineRule="auto"/>
                    <w:jc w:val="center"/>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300</w:t>
                  </w:r>
                </w:p>
              </w:tc>
              <w:tc>
                <w:tcPr>
                  <w:tcW w:w="1701" w:type="dxa"/>
                  <w:shd w:val="clear" w:color="auto" w:fill="auto"/>
                  <w:vAlign w:val="center"/>
                </w:tcPr>
                <w:p w14:paraId="6DD722C7" w14:textId="77777777" w:rsidR="00DA3465" w:rsidRPr="00594709" w:rsidRDefault="00110FF9" w:rsidP="007D4F15">
                  <w:pPr>
                    <w:spacing w:after="0" w:line="240" w:lineRule="auto"/>
                    <w:jc w:val="center"/>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630</w:t>
                  </w:r>
                </w:p>
              </w:tc>
            </w:tr>
            <w:tr w:rsidR="00DA3465" w:rsidRPr="00594709" w14:paraId="31EECEB7" w14:textId="77777777" w:rsidTr="00CE766B">
              <w:trPr>
                <w:trHeight w:val="292"/>
                <w:jc w:val="center"/>
              </w:trPr>
              <w:tc>
                <w:tcPr>
                  <w:tcW w:w="5262" w:type="dxa"/>
                  <w:shd w:val="clear" w:color="auto" w:fill="auto"/>
                  <w:vAlign w:val="center"/>
                </w:tcPr>
                <w:p w14:paraId="446ADB0E" w14:textId="77777777" w:rsidR="00DA3465" w:rsidRPr="00594709" w:rsidRDefault="00DA3465" w:rsidP="007D4F15">
                  <w:pPr>
                    <w:spacing w:after="0" w:line="240" w:lineRule="auto"/>
                    <w:ind w:left="360"/>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 xml:space="preserve">Broj izvora prostornih podataka opisanih </w:t>
                  </w:r>
                  <w:proofErr w:type="spellStart"/>
                  <w:r w:rsidRPr="00594709">
                    <w:rPr>
                      <w:rFonts w:asciiTheme="majorHAnsi" w:eastAsia="Times New Roman" w:hAnsiTheme="majorHAnsi" w:cstheme="majorHAnsi"/>
                      <w:bCs/>
                      <w:iCs/>
                      <w:sz w:val="20"/>
                      <w:szCs w:val="24"/>
                      <w:lang w:val="hr-HR" w:eastAsia="hr-HR"/>
                    </w:rPr>
                    <w:t>metapodacima</w:t>
                  </w:r>
                  <w:proofErr w:type="spellEnd"/>
                  <w:r w:rsidRPr="00594709">
                    <w:rPr>
                      <w:rFonts w:asciiTheme="majorHAnsi" w:eastAsia="Times New Roman" w:hAnsiTheme="majorHAnsi" w:cstheme="majorHAnsi"/>
                      <w:bCs/>
                      <w:iCs/>
                      <w:sz w:val="20"/>
                      <w:szCs w:val="24"/>
                      <w:lang w:val="hr-HR" w:eastAsia="hr-HR"/>
                    </w:rPr>
                    <w:t xml:space="preserve"> na </w:t>
                  </w:r>
                  <w:proofErr w:type="spellStart"/>
                  <w:r w:rsidRPr="00594709">
                    <w:rPr>
                      <w:rFonts w:asciiTheme="majorHAnsi" w:eastAsia="Times New Roman" w:hAnsiTheme="majorHAnsi" w:cstheme="majorHAnsi"/>
                      <w:bCs/>
                      <w:iCs/>
                      <w:sz w:val="20"/>
                      <w:szCs w:val="24"/>
                      <w:lang w:val="hr-HR" w:eastAsia="hr-HR"/>
                    </w:rPr>
                    <w:t>Geoportalu</w:t>
                  </w:r>
                  <w:proofErr w:type="spellEnd"/>
                  <w:r w:rsidRPr="00594709">
                    <w:rPr>
                      <w:rFonts w:asciiTheme="majorHAnsi" w:eastAsia="Times New Roman" w:hAnsiTheme="majorHAnsi" w:cstheme="majorHAnsi"/>
                      <w:bCs/>
                      <w:iCs/>
                      <w:sz w:val="20"/>
                      <w:szCs w:val="24"/>
                      <w:lang w:val="hr-HR" w:eastAsia="hr-HR"/>
                    </w:rPr>
                    <w:t xml:space="preserve"> NIPP-a</w:t>
                  </w:r>
                </w:p>
              </w:tc>
              <w:tc>
                <w:tcPr>
                  <w:tcW w:w="1701" w:type="dxa"/>
                  <w:shd w:val="clear" w:color="auto" w:fill="auto"/>
                  <w:vAlign w:val="center"/>
                </w:tcPr>
                <w:p w14:paraId="526293E8" w14:textId="77777777" w:rsidR="00DA3465" w:rsidRPr="00594709" w:rsidRDefault="00DA3465" w:rsidP="007D4F15">
                  <w:pPr>
                    <w:spacing w:after="0" w:line="240" w:lineRule="auto"/>
                    <w:jc w:val="center"/>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800</w:t>
                  </w:r>
                </w:p>
              </w:tc>
              <w:tc>
                <w:tcPr>
                  <w:tcW w:w="1701" w:type="dxa"/>
                  <w:shd w:val="clear" w:color="auto" w:fill="auto"/>
                  <w:vAlign w:val="center"/>
                </w:tcPr>
                <w:p w14:paraId="2AD113BC" w14:textId="00DD7C20" w:rsidR="00DA3465" w:rsidRPr="00594709" w:rsidRDefault="00397733" w:rsidP="007D4F15">
                  <w:pPr>
                    <w:spacing w:after="0" w:line="240" w:lineRule="auto"/>
                    <w:jc w:val="center"/>
                    <w:rPr>
                      <w:rFonts w:asciiTheme="majorHAnsi" w:eastAsia="Times New Roman" w:hAnsiTheme="majorHAnsi" w:cstheme="majorHAnsi"/>
                      <w:bCs/>
                      <w:iCs/>
                      <w:sz w:val="20"/>
                      <w:szCs w:val="24"/>
                      <w:lang w:val="hr-HR" w:eastAsia="hr-HR"/>
                    </w:rPr>
                  </w:pPr>
                  <w:r>
                    <w:rPr>
                      <w:rFonts w:asciiTheme="majorHAnsi" w:eastAsia="Times New Roman" w:hAnsiTheme="majorHAnsi" w:cstheme="majorHAnsi"/>
                      <w:bCs/>
                      <w:iCs/>
                      <w:sz w:val="20"/>
                      <w:szCs w:val="24"/>
                      <w:lang w:val="hr-HR" w:eastAsia="hr-HR"/>
                    </w:rPr>
                    <w:t>459</w:t>
                  </w:r>
                </w:p>
              </w:tc>
            </w:tr>
            <w:tr w:rsidR="00DA3465" w:rsidRPr="00594709" w14:paraId="00976D77" w14:textId="77777777" w:rsidTr="00CE766B">
              <w:trPr>
                <w:trHeight w:val="292"/>
                <w:jc w:val="center"/>
              </w:trPr>
              <w:tc>
                <w:tcPr>
                  <w:tcW w:w="5262" w:type="dxa"/>
                  <w:shd w:val="clear" w:color="auto" w:fill="auto"/>
                  <w:vAlign w:val="center"/>
                </w:tcPr>
                <w:p w14:paraId="317D1DE5" w14:textId="77777777" w:rsidR="00DA3465" w:rsidRPr="00594709" w:rsidRDefault="00DA3465" w:rsidP="007D4F15">
                  <w:pPr>
                    <w:spacing w:after="0" w:line="240" w:lineRule="auto"/>
                    <w:ind w:left="360"/>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Broj skupova prostornih podataka koje je moguće pregledati</w:t>
                  </w:r>
                </w:p>
              </w:tc>
              <w:tc>
                <w:tcPr>
                  <w:tcW w:w="1701" w:type="dxa"/>
                  <w:shd w:val="clear" w:color="auto" w:fill="auto"/>
                  <w:vAlign w:val="center"/>
                </w:tcPr>
                <w:p w14:paraId="27F0A4BF" w14:textId="77777777" w:rsidR="00DA3465" w:rsidRPr="00594709" w:rsidRDefault="00DA3465" w:rsidP="007D4F15">
                  <w:pPr>
                    <w:spacing w:after="0" w:line="240" w:lineRule="auto"/>
                    <w:jc w:val="center"/>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270</w:t>
                  </w:r>
                </w:p>
              </w:tc>
              <w:tc>
                <w:tcPr>
                  <w:tcW w:w="1701" w:type="dxa"/>
                  <w:shd w:val="clear" w:color="auto" w:fill="auto"/>
                  <w:vAlign w:val="center"/>
                </w:tcPr>
                <w:p w14:paraId="55ED02F6" w14:textId="77777777" w:rsidR="00DA3465" w:rsidRPr="00594709" w:rsidRDefault="00DA3465" w:rsidP="007D4F15">
                  <w:pPr>
                    <w:spacing w:after="0" w:line="240" w:lineRule="auto"/>
                    <w:jc w:val="center"/>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117</w:t>
                  </w:r>
                </w:p>
              </w:tc>
            </w:tr>
            <w:tr w:rsidR="00DA3465" w:rsidRPr="00594709" w14:paraId="79F1C9BA" w14:textId="77777777" w:rsidTr="00CE766B">
              <w:trPr>
                <w:trHeight w:val="292"/>
                <w:jc w:val="center"/>
              </w:trPr>
              <w:tc>
                <w:tcPr>
                  <w:tcW w:w="5262" w:type="dxa"/>
                  <w:shd w:val="clear" w:color="auto" w:fill="auto"/>
                  <w:vAlign w:val="center"/>
                </w:tcPr>
                <w:p w14:paraId="4C4F1664" w14:textId="77777777" w:rsidR="00DA3465" w:rsidRPr="00594709" w:rsidRDefault="00DA3465" w:rsidP="007D4F15">
                  <w:pPr>
                    <w:spacing w:after="0" w:line="240" w:lineRule="auto"/>
                    <w:ind w:left="360"/>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Broj skupova podataka koje je moguće preuzeti</w:t>
                  </w:r>
                </w:p>
              </w:tc>
              <w:tc>
                <w:tcPr>
                  <w:tcW w:w="1701" w:type="dxa"/>
                  <w:shd w:val="clear" w:color="auto" w:fill="auto"/>
                  <w:vAlign w:val="center"/>
                </w:tcPr>
                <w:p w14:paraId="111AE1F5" w14:textId="77777777" w:rsidR="00DA3465" w:rsidRPr="00594709" w:rsidRDefault="00DA3465" w:rsidP="007D4F15">
                  <w:pPr>
                    <w:spacing w:after="0" w:line="240" w:lineRule="auto"/>
                    <w:jc w:val="center"/>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270</w:t>
                  </w:r>
                </w:p>
              </w:tc>
              <w:tc>
                <w:tcPr>
                  <w:tcW w:w="1701" w:type="dxa"/>
                  <w:shd w:val="clear" w:color="auto" w:fill="auto"/>
                  <w:vAlign w:val="center"/>
                </w:tcPr>
                <w:p w14:paraId="4F5B3AF6" w14:textId="77777777" w:rsidR="00DA3465" w:rsidRPr="00594709" w:rsidRDefault="00DA3465" w:rsidP="007D4F15">
                  <w:pPr>
                    <w:spacing w:after="0" w:line="240" w:lineRule="auto"/>
                    <w:jc w:val="center"/>
                    <w:rPr>
                      <w:rFonts w:asciiTheme="majorHAnsi" w:eastAsia="Times New Roman" w:hAnsiTheme="majorHAnsi" w:cstheme="majorHAnsi"/>
                      <w:bCs/>
                      <w:iCs/>
                      <w:sz w:val="20"/>
                      <w:szCs w:val="24"/>
                      <w:lang w:val="hr-HR" w:eastAsia="hr-HR"/>
                    </w:rPr>
                  </w:pPr>
                  <w:r w:rsidRPr="00594709">
                    <w:rPr>
                      <w:rFonts w:asciiTheme="majorHAnsi" w:eastAsia="Times New Roman" w:hAnsiTheme="majorHAnsi" w:cstheme="majorHAnsi"/>
                      <w:bCs/>
                      <w:iCs/>
                      <w:sz w:val="20"/>
                      <w:szCs w:val="24"/>
                      <w:lang w:val="hr-HR" w:eastAsia="hr-HR"/>
                    </w:rPr>
                    <w:t>69</w:t>
                  </w:r>
                </w:p>
              </w:tc>
            </w:tr>
          </w:tbl>
          <w:p w14:paraId="4BD4E705" w14:textId="77777777" w:rsidR="00DA3465" w:rsidRDefault="00DA3465" w:rsidP="007D4F15">
            <w:pPr>
              <w:jc w:val="both"/>
              <w:rPr>
                <w:lang w:val="hr-HR"/>
              </w:rPr>
            </w:pPr>
          </w:p>
        </w:tc>
      </w:tr>
      <w:tr w:rsidR="00DA3465" w14:paraId="07144B9F" w14:textId="77777777" w:rsidTr="007D4F15">
        <w:tc>
          <w:tcPr>
            <w:tcW w:w="9350" w:type="dxa"/>
          </w:tcPr>
          <w:p w14:paraId="06DFA2EE" w14:textId="77777777" w:rsidR="00DA3465" w:rsidRDefault="00DA3465" w:rsidP="007D4F15">
            <w:pPr>
              <w:jc w:val="both"/>
              <w:rPr>
                <w:lang w:val="hr-HR"/>
              </w:rPr>
            </w:pPr>
          </w:p>
          <w:p w14:paraId="4C7A3371" w14:textId="141732EF" w:rsidR="00DA3465" w:rsidRDefault="00DA3465" w:rsidP="007D4F15">
            <w:pPr>
              <w:jc w:val="both"/>
              <w:rPr>
                <w:lang w:val="hr-HR"/>
              </w:rPr>
            </w:pPr>
            <w:r>
              <w:rPr>
                <w:lang w:val="hr-HR"/>
              </w:rPr>
              <w:t>Tablica 1: Dostupnost podataka</w:t>
            </w:r>
            <w:r w:rsidR="00CF0BDB">
              <w:rPr>
                <w:lang w:val="hr-HR"/>
              </w:rPr>
              <w:t xml:space="preserve"> prema Registrima NIPP</w:t>
            </w:r>
          </w:p>
        </w:tc>
      </w:tr>
    </w:tbl>
    <w:p w14:paraId="3D51E01C" w14:textId="77777777" w:rsidR="00933F58" w:rsidRDefault="00933F58" w:rsidP="00DA3465">
      <w:pPr>
        <w:jc w:val="both"/>
        <w:rPr>
          <w:lang w:val="hr-HR"/>
        </w:rPr>
      </w:pPr>
    </w:p>
    <w:p w14:paraId="6531071F" w14:textId="4F91BF09" w:rsidR="006B1C00" w:rsidRDefault="007E70AB" w:rsidP="00DA3465">
      <w:pPr>
        <w:jc w:val="both"/>
        <w:rPr>
          <w:lang w:val="hr-HR"/>
        </w:rPr>
      </w:pPr>
      <w:r>
        <w:rPr>
          <w:lang w:val="hr-HR"/>
        </w:rPr>
        <w:t xml:space="preserve">U </w:t>
      </w:r>
      <w:r w:rsidR="006E5388">
        <w:rPr>
          <w:lang w:val="hr-HR"/>
        </w:rPr>
        <w:t xml:space="preserve">razdoblju </w:t>
      </w:r>
      <w:r w:rsidR="00523712">
        <w:rPr>
          <w:lang w:val="hr-HR"/>
        </w:rPr>
        <w:t>promatranja</w:t>
      </w:r>
      <w:r>
        <w:rPr>
          <w:lang w:val="hr-HR"/>
        </w:rPr>
        <w:t xml:space="preserve"> Strategije vidljiv je i mjerljiv napredak u okviru svih spomenutih ciljeva</w:t>
      </w:r>
      <w:r w:rsidR="00523712">
        <w:rPr>
          <w:lang w:val="hr-HR"/>
        </w:rPr>
        <w:t xml:space="preserve">. Okolnosti s početka promatranog </w:t>
      </w:r>
      <w:r w:rsidR="00496D5C">
        <w:rPr>
          <w:lang w:val="hr-HR"/>
        </w:rPr>
        <w:t xml:space="preserve">razdoblja </w:t>
      </w:r>
      <w:r w:rsidR="00523712">
        <w:rPr>
          <w:lang w:val="hr-HR"/>
        </w:rPr>
        <w:t xml:space="preserve">u usporedbi s sadašnjim trenutkom u mnogočemu su se izmijenile, te mnogi ciljevi i </w:t>
      </w:r>
      <w:r>
        <w:rPr>
          <w:lang w:val="hr-HR"/>
        </w:rPr>
        <w:t xml:space="preserve">dalje </w:t>
      </w:r>
      <w:r w:rsidR="00523712">
        <w:rPr>
          <w:lang w:val="hr-HR"/>
        </w:rPr>
        <w:t>zahtijevaju</w:t>
      </w:r>
      <w:r>
        <w:rPr>
          <w:lang w:val="hr-HR"/>
        </w:rPr>
        <w:t xml:space="preserve"> aktivnosti, kako na razini subjekata, tako i na razini Nacionalne kontaktne točke.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829A7" w14:paraId="68BE4FCE" w14:textId="77777777" w:rsidTr="00C00CFE">
        <w:tc>
          <w:tcPr>
            <w:tcW w:w="9350" w:type="dxa"/>
          </w:tcPr>
          <w:p w14:paraId="24EB0F7F" w14:textId="77777777" w:rsidR="00F829A7" w:rsidRDefault="000B4753" w:rsidP="00F829A7">
            <w:pPr>
              <w:jc w:val="center"/>
              <w:rPr>
                <w:lang w:val="hr-HR"/>
              </w:rPr>
            </w:pPr>
            <w:r>
              <w:rPr>
                <w:noProof/>
                <w:lang w:val="hr-HR" w:eastAsia="hr-HR"/>
              </w:rPr>
              <mc:AlternateContent>
                <mc:Choice Requires="wps">
                  <w:drawing>
                    <wp:anchor distT="0" distB="0" distL="114300" distR="114300" simplePos="0" relativeHeight="251661312" behindDoc="0" locked="0" layoutInCell="1" allowOverlap="1" wp14:anchorId="20EDAE69" wp14:editId="5948A339">
                      <wp:simplePos x="0" y="0"/>
                      <wp:positionH relativeFrom="column">
                        <wp:posOffset>695325</wp:posOffset>
                      </wp:positionH>
                      <wp:positionV relativeFrom="paragraph">
                        <wp:posOffset>857250</wp:posOffset>
                      </wp:positionV>
                      <wp:extent cx="2095500" cy="2095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095500" cy="209550"/>
                              </a:xfrm>
                              <a:prstGeom prst="rect">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1EA34" id="Rectangle 17" o:spid="_x0000_s1026" style="position:absolute;margin-left:54.75pt;margin-top:67.5pt;width:16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" filled="f" strokecolor="#2f5496 [2408]" strokeweight="1pt"/>
                  </w:pict>
                </mc:Fallback>
              </mc:AlternateContent>
            </w:r>
            <w:r w:rsidR="00F829A7">
              <w:rPr>
                <w:noProof/>
                <w:lang w:val="hr-HR" w:eastAsia="hr-HR"/>
              </w:rPr>
              <w:drawing>
                <wp:inline distT="0" distB="0" distL="0" distR="0" wp14:anchorId="52AA9A92" wp14:editId="75F8BD36">
                  <wp:extent cx="4584065" cy="2196836"/>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U pregled.PNG"/>
                          <pic:cNvPicPr/>
                        </pic:nvPicPr>
                        <pic:blipFill rotWithShape="1">
                          <a:blip r:embed="rId26">
                            <a:extLst>
                              <a:ext uri="{28A0092B-C50C-407E-A947-70E740481C1C}">
                                <a14:useLocalDpi xmlns:a14="http://schemas.microsoft.com/office/drawing/2010/main" val="0"/>
                              </a:ext>
                            </a:extLst>
                          </a:blip>
                          <a:srcRect r="49839"/>
                          <a:stretch/>
                        </pic:blipFill>
                        <pic:spPr bwMode="auto">
                          <a:xfrm>
                            <a:off x="0" y="0"/>
                            <a:ext cx="4661558" cy="2233973"/>
                          </a:xfrm>
                          <a:prstGeom prst="rect">
                            <a:avLst/>
                          </a:prstGeom>
                          <a:ln>
                            <a:noFill/>
                          </a:ln>
                          <a:extLst>
                            <a:ext uri="{53640926-AAD7-44D8-BBD7-CCE9431645EC}">
                              <a14:shadowObscured xmlns:a14="http://schemas.microsoft.com/office/drawing/2010/main"/>
                            </a:ext>
                          </a:extLst>
                        </pic:spPr>
                      </pic:pic>
                    </a:graphicData>
                  </a:graphic>
                </wp:inline>
              </w:drawing>
            </w:r>
          </w:p>
        </w:tc>
      </w:tr>
      <w:tr w:rsidR="00F829A7" w14:paraId="278D4CB5" w14:textId="77777777" w:rsidTr="00C00CFE">
        <w:tc>
          <w:tcPr>
            <w:tcW w:w="9350" w:type="dxa"/>
          </w:tcPr>
          <w:p w14:paraId="6808756A" w14:textId="77777777" w:rsidR="00F829A7" w:rsidRDefault="00F829A7" w:rsidP="00F829A7">
            <w:pPr>
              <w:jc w:val="center"/>
              <w:rPr>
                <w:lang w:val="hr-HR"/>
              </w:rPr>
            </w:pPr>
            <w:r>
              <w:rPr>
                <w:noProof/>
                <w:lang w:val="hr-HR" w:eastAsia="hr-HR"/>
              </w:rPr>
              <w:lastRenderedPageBreak/>
              <w:drawing>
                <wp:inline distT="0" distB="0" distL="0" distR="0" wp14:anchorId="627FA937" wp14:editId="568B92B3">
                  <wp:extent cx="4555236" cy="21120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U pregled.PNG"/>
                          <pic:cNvPicPr/>
                        </pic:nvPicPr>
                        <pic:blipFill rotWithShape="1">
                          <a:blip r:embed="rId26">
                            <a:extLst>
                              <a:ext uri="{28A0092B-C50C-407E-A947-70E740481C1C}">
                                <a14:useLocalDpi xmlns:a14="http://schemas.microsoft.com/office/drawing/2010/main" val="0"/>
                              </a:ext>
                            </a:extLst>
                          </a:blip>
                          <a:srcRect l="49519" t="2635"/>
                          <a:stretch/>
                        </pic:blipFill>
                        <pic:spPr bwMode="auto">
                          <a:xfrm>
                            <a:off x="0" y="0"/>
                            <a:ext cx="4656023" cy="2158740"/>
                          </a:xfrm>
                          <a:prstGeom prst="rect">
                            <a:avLst/>
                          </a:prstGeom>
                          <a:ln>
                            <a:noFill/>
                          </a:ln>
                          <a:extLst>
                            <a:ext uri="{53640926-AAD7-44D8-BBD7-CCE9431645EC}">
                              <a14:shadowObscured xmlns:a14="http://schemas.microsoft.com/office/drawing/2010/main"/>
                            </a:ext>
                          </a:extLst>
                        </pic:spPr>
                      </pic:pic>
                    </a:graphicData>
                  </a:graphic>
                </wp:inline>
              </w:drawing>
            </w:r>
          </w:p>
        </w:tc>
      </w:tr>
      <w:tr w:rsidR="00F829A7" w14:paraId="7ACE3856" w14:textId="77777777" w:rsidTr="00C00CFE">
        <w:tc>
          <w:tcPr>
            <w:tcW w:w="9350" w:type="dxa"/>
          </w:tcPr>
          <w:p w14:paraId="72C4967D" w14:textId="77777777" w:rsidR="00F829A7" w:rsidRDefault="00F829A7" w:rsidP="00C00CFE">
            <w:pPr>
              <w:rPr>
                <w:noProof/>
                <w:lang w:val="hr-HR" w:eastAsia="hr-HR"/>
              </w:rPr>
            </w:pPr>
            <w:r>
              <w:rPr>
                <w:lang w:val="hr-HR"/>
              </w:rPr>
              <w:t xml:space="preserve">Slika 4. Prikaz dostupnosti </w:t>
            </w:r>
            <w:r w:rsidR="00C00CFE">
              <w:rPr>
                <w:lang w:val="hr-HR"/>
              </w:rPr>
              <w:t xml:space="preserve">prostornih </w:t>
            </w:r>
            <w:r>
              <w:rPr>
                <w:lang w:val="hr-HR"/>
              </w:rPr>
              <w:t xml:space="preserve">podataka po državama </w:t>
            </w:r>
          </w:p>
        </w:tc>
      </w:tr>
    </w:tbl>
    <w:p w14:paraId="5454300E" w14:textId="77777777" w:rsidR="00F829A7" w:rsidRDefault="00F829A7" w:rsidP="00DA3465">
      <w:pPr>
        <w:jc w:val="both"/>
        <w:rPr>
          <w:lang w:val="hr-HR"/>
        </w:rPr>
      </w:pPr>
    </w:p>
    <w:p w14:paraId="2E5E150D" w14:textId="77777777" w:rsidR="00FE5DF2" w:rsidRDefault="00FE5DF2" w:rsidP="00FE5DF2">
      <w:pPr>
        <w:jc w:val="both"/>
        <w:rPr>
          <w:lang w:val="hr-HR"/>
        </w:rPr>
      </w:pPr>
      <w:r>
        <w:rPr>
          <w:lang w:val="hr-HR"/>
        </w:rPr>
        <w:t>Ispunjavanje određenog broja ciljeva je upravo zbog nepredviđenih okolnosti  tijekom 2019. i 2020. godine realizirano u razdoblju nakon Strategije tj. u 2021. godini.</w:t>
      </w:r>
    </w:p>
    <w:p w14:paraId="3CC469D2" w14:textId="730F7694" w:rsidR="00171521" w:rsidRPr="00546F76" w:rsidRDefault="00A01047" w:rsidP="00D142BA">
      <w:pPr>
        <w:jc w:val="both"/>
        <w:rPr>
          <w:lang w:val="hr-HR"/>
        </w:rPr>
      </w:pPr>
      <w:r w:rsidRPr="00F50BD4">
        <w:rPr>
          <w:b/>
          <w:lang w:val="hr-HR"/>
        </w:rPr>
        <w:t xml:space="preserve">U </w:t>
      </w:r>
      <w:r w:rsidR="00DA3465" w:rsidRPr="00F50BD4">
        <w:rPr>
          <w:b/>
          <w:lang w:val="hr-HR"/>
        </w:rPr>
        <w:t xml:space="preserve">pojedinim dijelovima </w:t>
      </w:r>
      <w:r w:rsidRPr="00F50BD4">
        <w:rPr>
          <w:b/>
          <w:lang w:val="hr-HR"/>
        </w:rPr>
        <w:t xml:space="preserve">Strategije, </w:t>
      </w:r>
      <w:r w:rsidR="00DA3465" w:rsidRPr="00F50BD4">
        <w:rPr>
          <w:b/>
          <w:lang w:val="hr-HR"/>
        </w:rPr>
        <w:t xml:space="preserve">konkretno ciljevima </w:t>
      </w:r>
      <w:r w:rsidR="00DA3465" w:rsidRPr="00F50BD4">
        <w:rPr>
          <w:b/>
          <w:i/>
          <w:lang w:val="hr-HR"/>
        </w:rPr>
        <w:t xml:space="preserve">Strateški cilj br. 2: Prostorni podaci i usluge su dostupni i zadovoljavaju potrebe korisnika, </w:t>
      </w:r>
      <w:r w:rsidR="00DA3465" w:rsidRPr="00F50BD4">
        <w:rPr>
          <w:b/>
          <w:lang w:val="hr-HR"/>
        </w:rPr>
        <w:t xml:space="preserve">te </w:t>
      </w:r>
      <w:r w:rsidRPr="00F50BD4">
        <w:rPr>
          <w:b/>
          <w:lang w:val="hr-HR"/>
        </w:rPr>
        <w:t xml:space="preserve"> </w:t>
      </w:r>
      <w:r w:rsidR="00D142BA" w:rsidRPr="00F50BD4">
        <w:rPr>
          <w:b/>
          <w:i/>
          <w:lang w:val="hr-HR"/>
        </w:rPr>
        <w:t xml:space="preserve">Strateški cilj br. 6: NIPP podržava druge važne politike i programe na nacionalnoj i međunarodnoj razini </w:t>
      </w:r>
      <w:r w:rsidRPr="00F50BD4">
        <w:rPr>
          <w:b/>
          <w:lang w:val="hr-HR"/>
        </w:rPr>
        <w:t xml:space="preserve">napravljeni su </w:t>
      </w:r>
      <w:r w:rsidR="00EA1DDA" w:rsidRPr="00F50BD4">
        <w:rPr>
          <w:b/>
          <w:lang w:val="hr-HR"/>
        </w:rPr>
        <w:t>manji</w:t>
      </w:r>
      <w:r w:rsidRPr="00F50BD4">
        <w:rPr>
          <w:b/>
          <w:lang w:val="hr-HR"/>
        </w:rPr>
        <w:t xml:space="preserve"> pomaci</w:t>
      </w:r>
      <w:r w:rsidR="00EA1DDA" w:rsidRPr="00F50BD4">
        <w:rPr>
          <w:b/>
          <w:lang w:val="hr-HR"/>
        </w:rPr>
        <w:t xml:space="preserve"> od očekivanog</w:t>
      </w:r>
      <w:r w:rsidR="00594709" w:rsidRPr="00F50BD4">
        <w:rPr>
          <w:b/>
          <w:lang w:val="hr-HR"/>
        </w:rPr>
        <w:t>, što je vidljivo i na  slici 1</w:t>
      </w:r>
      <w:r w:rsidR="00BC5222" w:rsidRPr="00F50BD4">
        <w:rPr>
          <w:b/>
          <w:lang w:val="hr-HR"/>
        </w:rPr>
        <w:t xml:space="preserve">. </w:t>
      </w:r>
      <w:r w:rsidR="00A94BC2" w:rsidRPr="00F50BD4">
        <w:rPr>
          <w:b/>
          <w:lang w:val="hr-HR"/>
        </w:rPr>
        <w:t xml:space="preserve">Važno je napomenuti da vremenski okvir provedbe </w:t>
      </w:r>
      <w:r w:rsidR="00FE5DF2">
        <w:rPr>
          <w:b/>
          <w:lang w:val="hr-HR"/>
        </w:rPr>
        <w:t xml:space="preserve">aktivnosti iz </w:t>
      </w:r>
      <w:r w:rsidR="00933F58">
        <w:rPr>
          <w:b/>
          <w:lang w:val="hr-HR"/>
        </w:rPr>
        <w:t xml:space="preserve">Zakona o NIPP-u </w:t>
      </w:r>
      <w:r w:rsidR="00FE5DF2">
        <w:rPr>
          <w:b/>
          <w:lang w:val="hr-HR"/>
        </w:rPr>
        <w:t xml:space="preserve">a </w:t>
      </w:r>
      <w:r w:rsidR="00933F58">
        <w:rPr>
          <w:b/>
          <w:lang w:val="hr-HR"/>
        </w:rPr>
        <w:t xml:space="preserve">sukladno </w:t>
      </w:r>
      <w:r w:rsidR="00A94BC2" w:rsidRPr="00F50BD4">
        <w:rPr>
          <w:b/>
          <w:lang w:val="hr-HR"/>
        </w:rPr>
        <w:t>Direktiv</w:t>
      </w:r>
      <w:r w:rsidR="00933F58">
        <w:rPr>
          <w:b/>
          <w:lang w:val="hr-HR"/>
        </w:rPr>
        <w:t>i</w:t>
      </w:r>
      <w:r w:rsidR="00A94BC2" w:rsidRPr="00F50BD4">
        <w:rPr>
          <w:b/>
          <w:lang w:val="hr-HR"/>
        </w:rPr>
        <w:t xml:space="preserve"> INSPIRE ističe u mjesecu prosincu 2021.</w:t>
      </w:r>
      <w:r w:rsidR="00EA1DDA" w:rsidRPr="00F50BD4">
        <w:rPr>
          <w:b/>
          <w:lang w:val="hr-HR"/>
        </w:rPr>
        <w:t xml:space="preserve"> godine</w:t>
      </w:r>
      <w:r w:rsidR="00A94BC2" w:rsidRPr="00F50BD4">
        <w:rPr>
          <w:b/>
          <w:lang w:val="hr-HR"/>
        </w:rPr>
        <w:t xml:space="preserve">, te da je i dalje potreban angažman subjekata NIPP-a kako bi </w:t>
      </w:r>
      <w:r w:rsidR="00FE5DF2">
        <w:rPr>
          <w:b/>
          <w:lang w:val="hr-HR"/>
        </w:rPr>
        <w:t xml:space="preserve">navedene </w:t>
      </w:r>
      <w:r w:rsidR="00A94BC2" w:rsidRPr="00F50BD4">
        <w:rPr>
          <w:b/>
          <w:lang w:val="hr-HR"/>
        </w:rPr>
        <w:t>aktivnosti bile ispunjene.</w:t>
      </w:r>
      <w:r w:rsidR="00171521">
        <w:rPr>
          <w:lang w:val="hr-HR"/>
        </w:rPr>
        <w:t xml:space="preserve"> Status Republike Hrvatske u usporedbi s drugim državama vidljiv je na slici br. 4.</w:t>
      </w:r>
      <w:r w:rsidR="00EA1DDA">
        <w:rPr>
          <w:lang w:val="hr-HR"/>
        </w:rPr>
        <w:t xml:space="preserve"> </w:t>
      </w:r>
      <w:r w:rsidR="00D142BA" w:rsidRPr="00546F76">
        <w:rPr>
          <w:lang w:val="hr-HR"/>
        </w:rPr>
        <w:t>T</w:t>
      </w:r>
      <w:r w:rsidRPr="00546F76">
        <w:rPr>
          <w:lang w:val="hr-HR"/>
        </w:rPr>
        <w:t>ime</w:t>
      </w:r>
      <w:r w:rsidR="00D142BA" w:rsidRPr="00546F76">
        <w:rPr>
          <w:lang w:val="hr-HR"/>
        </w:rPr>
        <w:t xml:space="preserve"> se</w:t>
      </w:r>
      <w:r w:rsidRPr="00546F76">
        <w:rPr>
          <w:lang w:val="hr-HR"/>
        </w:rPr>
        <w:t xml:space="preserve"> Republika Hrvatska nalazi u situaciji da s</w:t>
      </w:r>
      <w:r w:rsidR="00D142BA" w:rsidRPr="00546F76">
        <w:rPr>
          <w:lang w:val="hr-HR"/>
        </w:rPr>
        <w:t>e</w:t>
      </w:r>
      <w:r w:rsidRPr="00546F76">
        <w:rPr>
          <w:lang w:val="hr-HR"/>
        </w:rPr>
        <w:t xml:space="preserve"> aktivnosti</w:t>
      </w:r>
      <w:r w:rsidR="00D142BA" w:rsidRPr="00546F76">
        <w:rPr>
          <w:lang w:val="hr-HR"/>
        </w:rPr>
        <w:t>ma</w:t>
      </w:r>
      <w:r w:rsidRPr="00546F76">
        <w:rPr>
          <w:lang w:val="hr-HR"/>
        </w:rPr>
        <w:t xml:space="preserve"> iz </w:t>
      </w:r>
      <w:r w:rsidR="00520234">
        <w:rPr>
          <w:lang w:val="hr-HR"/>
        </w:rPr>
        <w:t>navedenih ciljeva</w:t>
      </w:r>
      <w:r w:rsidRPr="00546F76">
        <w:rPr>
          <w:lang w:val="hr-HR"/>
        </w:rPr>
        <w:t xml:space="preserve"> mora dodatno posvetiti </w:t>
      </w:r>
      <w:r w:rsidR="00520234">
        <w:rPr>
          <w:lang w:val="hr-HR"/>
        </w:rPr>
        <w:t>pažnja i sa upravljačke i sa provedbene razine.</w:t>
      </w:r>
      <w:r w:rsidR="00546F76">
        <w:rPr>
          <w:lang w:val="hr-HR"/>
        </w:rPr>
        <w:t xml:space="preserve"> </w:t>
      </w:r>
      <w:r w:rsidR="00DA3465">
        <w:rPr>
          <w:lang w:val="hr-HR"/>
        </w:rPr>
        <w:t>Tablica 1. prikazuje status pokazatelja gdje je vidljiv relativno veliki zaostatak pokazatelja u području dostupnosti prostornih podataka putem mrežnih usluga, iako je bro</w:t>
      </w:r>
      <w:r w:rsidR="008A086C">
        <w:rPr>
          <w:lang w:val="hr-HR"/>
        </w:rPr>
        <w:t>j identificiranih skupova</w:t>
      </w:r>
      <w:r w:rsidR="00DA3465">
        <w:rPr>
          <w:lang w:val="hr-HR"/>
        </w:rPr>
        <w:t xml:space="preserve"> veći od planiranog.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46F76" w14:paraId="1A303FE6" w14:textId="77777777" w:rsidTr="00E05122">
        <w:tc>
          <w:tcPr>
            <w:tcW w:w="9350" w:type="dxa"/>
          </w:tcPr>
          <w:p w14:paraId="561C63DF" w14:textId="77777777" w:rsidR="00546F76" w:rsidRDefault="000B4753" w:rsidP="00171521">
            <w:pPr>
              <w:jc w:val="center"/>
              <w:rPr>
                <w:lang w:val="hr-HR"/>
              </w:rPr>
            </w:pPr>
            <w:r>
              <w:rPr>
                <w:noProof/>
                <w:lang w:val="hr-HR" w:eastAsia="hr-HR"/>
              </w:rPr>
              <mc:AlternateContent>
                <mc:Choice Requires="wps">
                  <w:drawing>
                    <wp:anchor distT="0" distB="0" distL="114300" distR="114300" simplePos="0" relativeHeight="251659264" behindDoc="0" locked="0" layoutInCell="1" allowOverlap="1" wp14:anchorId="4387B033" wp14:editId="477F5FD5">
                      <wp:simplePos x="0" y="0"/>
                      <wp:positionH relativeFrom="column">
                        <wp:posOffset>712470</wp:posOffset>
                      </wp:positionH>
                      <wp:positionV relativeFrom="paragraph">
                        <wp:posOffset>900430</wp:posOffset>
                      </wp:positionV>
                      <wp:extent cx="2095500" cy="2095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095500" cy="209550"/>
                              </a:xfrm>
                              <a:prstGeom prst="rect">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EF82B" id="Rectangle 16" o:spid="_x0000_s1026" style="position:absolute;margin-left:56.1pt;margin-top:70.9pt;width:16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" filled="f" strokecolor="#2f5496 [2408]" strokeweight="1pt"/>
                  </w:pict>
                </mc:Fallback>
              </mc:AlternateContent>
            </w:r>
            <w:r w:rsidR="00171521">
              <w:rPr>
                <w:noProof/>
                <w:lang w:val="hr-HR" w:eastAsia="hr-HR"/>
              </w:rPr>
              <w:drawing>
                <wp:inline distT="0" distB="0" distL="0" distR="0" wp14:anchorId="7C8C36E8" wp14:editId="2A235BE4">
                  <wp:extent cx="4572000" cy="229994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U pregledHPDS.PNG"/>
                          <pic:cNvPicPr/>
                        </pic:nvPicPr>
                        <pic:blipFill rotWithShape="1">
                          <a:blip r:embed="rId27">
                            <a:extLst>
                              <a:ext uri="{28A0092B-C50C-407E-A947-70E740481C1C}">
                                <a14:useLocalDpi xmlns:a14="http://schemas.microsoft.com/office/drawing/2010/main" val="0"/>
                              </a:ext>
                            </a:extLst>
                          </a:blip>
                          <a:srcRect r="50962"/>
                          <a:stretch/>
                        </pic:blipFill>
                        <pic:spPr bwMode="auto">
                          <a:xfrm>
                            <a:off x="0" y="0"/>
                            <a:ext cx="4624532" cy="2326371"/>
                          </a:xfrm>
                          <a:prstGeom prst="rect">
                            <a:avLst/>
                          </a:prstGeom>
                          <a:ln>
                            <a:noFill/>
                          </a:ln>
                          <a:extLst>
                            <a:ext uri="{53640926-AAD7-44D8-BBD7-CCE9431645EC}">
                              <a14:shadowObscured xmlns:a14="http://schemas.microsoft.com/office/drawing/2010/main"/>
                            </a:ext>
                          </a:extLst>
                        </pic:spPr>
                      </pic:pic>
                    </a:graphicData>
                  </a:graphic>
                </wp:inline>
              </w:drawing>
            </w:r>
          </w:p>
        </w:tc>
      </w:tr>
      <w:tr w:rsidR="00546F76" w14:paraId="2E63D323" w14:textId="77777777" w:rsidTr="00E05122">
        <w:tc>
          <w:tcPr>
            <w:tcW w:w="9350" w:type="dxa"/>
          </w:tcPr>
          <w:p w14:paraId="481024E2" w14:textId="77777777" w:rsidR="00546F76" w:rsidRDefault="00E05122" w:rsidP="00E05122">
            <w:pPr>
              <w:jc w:val="center"/>
              <w:rPr>
                <w:lang w:val="hr-HR"/>
              </w:rPr>
            </w:pPr>
            <w:r>
              <w:rPr>
                <w:noProof/>
                <w:lang w:val="hr-HR" w:eastAsia="hr-HR"/>
              </w:rPr>
              <w:lastRenderedPageBreak/>
              <w:drawing>
                <wp:inline distT="0" distB="0" distL="0" distR="0" wp14:anchorId="29890C2D" wp14:editId="09A4E5BB">
                  <wp:extent cx="4743450" cy="224516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U pregledHPDS.PNG"/>
                          <pic:cNvPicPr/>
                        </pic:nvPicPr>
                        <pic:blipFill rotWithShape="1">
                          <a:blip r:embed="rId27">
                            <a:extLst>
                              <a:ext uri="{28A0092B-C50C-407E-A947-70E740481C1C}">
                                <a14:useLocalDpi xmlns:a14="http://schemas.microsoft.com/office/drawing/2010/main" val="0"/>
                              </a:ext>
                            </a:extLst>
                          </a:blip>
                          <a:srcRect l="48643" t="3728" r="1182"/>
                          <a:stretch/>
                        </pic:blipFill>
                        <pic:spPr bwMode="auto">
                          <a:xfrm>
                            <a:off x="0" y="0"/>
                            <a:ext cx="4802618" cy="2273175"/>
                          </a:xfrm>
                          <a:prstGeom prst="rect">
                            <a:avLst/>
                          </a:prstGeom>
                          <a:ln>
                            <a:noFill/>
                          </a:ln>
                          <a:extLst>
                            <a:ext uri="{53640926-AAD7-44D8-BBD7-CCE9431645EC}">
                              <a14:shadowObscured xmlns:a14="http://schemas.microsoft.com/office/drawing/2010/main"/>
                            </a:ext>
                          </a:extLst>
                        </pic:spPr>
                      </pic:pic>
                    </a:graphicData>
                  </a:graphic>
                </wp:inline>
              </w:drawing>
            </w:r>
          </w:p>
        </w:tc>
      </w:tr>
      <w:tr w:rsidR="00E05122" w14:paraId="27F74F9A" w14:textId="77777777" w:rsidTr="00E05122">
        <w:tc>
          <w:tcPr>
            <w:tcW w:w="9350" w:type="dxa"/>
          </w:tcPr>
          <w:p w14:paraId="46A7A1CF" w14:textId="77777777" w:rsidR="00E05122" w:rsidRDefault="00E05122" w:rsidP="00E05122">
            <w:pPr>
              <w:rPr>
                <w:noProof/>
                <w:lang w:val="hr-HR" w:eastAsia="hr-HR"/>
              </w:rPr>
            </w:pPr>
            <w:r>
              <w:rPr>
                <w:lang w:val="hr-HR"/>
              </w:rPr>
              <w:t>Slika 5. Prikaz dostupnosti prostornih podataka u kategoriji visoko prioritetnih skupova po državama. Republika Hrvatska u ovom trenutku nema podataka spremnih za preuzimanje.</w:t>
            </w:r>
          </w:p>
        </w:tc>
      </w:tr>
    </w:tbl>
    <w:p w14:paraId="55B592C6" w14:textId="47896228" w:rsidR="00546F76" w:rsidRDefault="00546F76" w:rsidP="00BA15D4">
      <w:pPr>
        <w:jc w:val="both"/>
        <w:rPr>
          <w:lang w:val="hr-HR"/>
        </w:rPr>
      </w:pPr>
    </w:p>
    <w:p w14:paraId="7C876DF2" w14:textId="4DF4B9E1" w:rsidR="00FE5DF2" w:rsidRDefault="00FE5DF2" w:rsidP="00BA15D4">
      <w:pPr>
        <w:jc w:val="both"/>
        <w:rPr>
          <w:lang w:val="hr-HR"/>
        </w:rPr>
      </w:pPr>
      <w:r>
        <w:rPr>
          <w:lang w:val="hr-HR"/>
        </w:rPr>
        <w:t>Djelomično obrazloženje je da je u nekim područjima došlo do promjene zakonodavnog okvira, te je nadležnost velikog broja izvora prenesena na jednu instituciju u obliku jednog ili nekoliko izvora. Slika 5. pokazuje status država po kriteriju visoko prioritetni skupovi podataka, gdje je vidljiv nedostatak skupova za preuzimanje kod Republike Hrvatske, što predstavlja dodatni izazov za subjekte NIPP-a, te iz perspektive Europske komisije može predstavljat ozbiljni nedostatak.</w:t>
      </w:r>
    </w:p>
    <w:p w14:paraId="31CC88E0" w14:textId="7DE1867E" w:rsidR="00406BAB" w:rsidRDefault="00E61C4E" w:rsidP="00F1325D">
      <w:pPr>
        <w:jc w:val="both"/>
        <w:rPr>
          <w:lang w:val="hr-HR"/>
        </w:rPr>
      </w:pPr>
      <w:r>
        <w:rPr>
          <w:lang w:val="hr-HR"/>
        </w:rPr>
        <w:t>Zaključno možemo reći da je k</w:t>
      </w:r>
      <w:r w:rsidR="007D1C60">
        <w:rPr>
          <w:lang w:val="hr-HR"/>
        </w:rPr>
        <w:t xml:space="preserve">roz analizu dobivenih </w:t>
      </w:r>
      <w:r w:rsidR="00520234">
        <w:rPr>
          <w:lang w:val="hr-HR"/>
        </w:rPr>
        <w:t>povratnih informacija od subjekata</w:t>
      </w:r>
      <w:r>
        <w:rPr>
          <w:lang w:val="hr-HR"/>
        </w:rPr>
        <w:t xml:space="preserve"> ustanovljeno</w:t>
      </w:r>
      <w:r w:rsidR="007D1C60">
        <w:rPr>
          <w:lang w:val="hr-HR"/>
        </w:rPr>
        <w:t xml:space="preserve"> da su </w:t>
      </w:r>
      <w:r w:rsidR="00B3607A">
        <w:rPr>
          <w:lang w:val="hr-HR"/>
        </w:rPr>
        <w:t>određeni</w:t>
      </w:r>
      <w:r w:rsidR="007D1C60">
        <w:rPr>
          <w:lang w:val="hr-HR"/>
        </w:rPr>
        <w:t xml:space="preserve"> ciljevi </w:t>
      </w:r>
      <w:r w:rsidR="00B3607A">
        <w:rPr>
          <w:lang w:val="hr-HR"/>
        </w:rPr>
        <w:t xml:space="preserve">provedeni u velikom postotku, </w:t>
      </w:r>
      <w:r w:rsidR="00CD61B1">
        <w:rPr>
          <w:lang w:val="hr-HR"/>
        </w:rPr>
        <w:t xml:space="preserve">te </w:t>
      </w:r>
      <w:r w:rsidR="00B3607A">
        <w:rPr>
          <w:lang w:val="hr-HR"/>
        </w:rPr>
        <w:t>da</w:t>
      </w:r>
      <w:r w:rsidR="007D1C60">
        <w:rPr>
          <w:lang w:val="hr-HR"/>
        </w:rPr>
        <w:t xml:space="preserve"> je većina zadanih ciljeva provedena</w:t>
      </w:r>
      <w:r w:rsidR="00B3607A">
        <w:rPr>
          <w:lang w:val="hr-HR"/>
        </w:rPr>
        <w:t xml:space="preserve"> u zadovoljavajućem postotku</w:t>
      </w:r>
      <w:r w:rsidR="00386BAE">
        <w:rPr>
          <w:lang w:val="hr-HR"/>
        </w:rPr>
        <w:t xml:space="preserve">, </w:t>
      </w:r>
      <w:r w:rsidR="00CD61B1">
        <w:rPr>
          <w:lang w:val="hr-HR"/>
        </w:rPr>
        <w:t>dok</w:t>
      </w:r>
      <w:r>
        <w:rPr>
          <w:lang w:val="hr-HR"/>
        </w:rPr>
        <w:t xml:space="preserve"> </w:t>
      </w:r>
      <w:r w:rsidR="00386BAE">
        <w:rPr>
          <w:lang w:val="hr-HR"/>
        </w:rPr>
        <w:t>je j</w:t>
      </w:r>
      <w:r w:rsidR="00B3607A">
        <w:rPr>
          <w:lang w:val="hr-HR"/>
        </w:rPr>
        <w:t xml:space="preserve">edan cilj </w:t>
      </w:r>
      <w:r w:rsidR="00386BAE">
        <w:rPr>
          <w:lang w:val="hr-HR"/>
        </w:rPr>
        <w:t xml:space="preserve">realiziran </w:t>
      </w:r>
      <w:r w:rsidR="00B3607A">
        <w:rPr>
          <w:lang w:val="hr-HR"/>
        </w:rPr>
        <w:t>s postotkom provedbe do 50%</w:t>
      </w:r>
      <w:r w:rsidR="00197A5E">
        <w:rPr>
          <w:lang w:val="hr-HR"/>
        </w:rPr>
        <w:t xml:space="preserve">. </w:t>
      </w:r>
      <w:r w:rsidR="00726B3E">
        <w:rPr>
          <w:lang w:val="hr-HR"/>
        </w:rPr>
        <w:t>Važno je napomenuti da se z</w:t>
      </w:r>
      <w:r w:rsidR="007D1C60">
        <w:rPr>
          <w:lang w:val="hr-HR"/>
        </w:rPr>
        <w:t>a te iste ciljeve</w:t>
      </w:r>
      <w:r w:rsidR="00726B3E">
        <w:rPr>
          <w:lang w:val="hr-HR"/>
        </w:rPr>
        <w:t xml:space="preserve"> nastavlja  provedbena</w:t>
      </w:r>
      <w:r w:rsidR="007D1C60">
        <w:rPr>
          <w:lang w:val="hr-HR"/>
        </w:rPr>
        <w:t xml:space="preserve"> aktivnost</w:t>
      </w:r>
      <w:r w:rsidR="00726B3E">
        <w:rPr>
          <w:lang w:val="hr-HR"/>
        </w:rPr>
        <w:t xml:space="preserve"> i nakon razdoblja Strategije.</w:t>
      </w:r>
      <w:r w:rsidR="007D1C60">
        <w:rPr>
          <w:lang w:val="hr-HR"/>
        </w:rPr>
        <w:t xml:space="preserve"> Kao glavne prepreke u ostvarivanju Strateškog plana NIPP-a subjekti su navodili ograničenja koja proizlaze iz nedostatak financijskih i ljudskih kapaciteta.</w:t>
      </w:r>
      <w:r w:rsidR="00F1325D">
        <w:rPr>
          <w:lang w:val="hr-HR"/>
        </w:rPr>
        <w:t xml:space="preserve"> </w:t>
      </w:r>
    </w:p>
    <w:p w14:paraId="0EABD624" w14:textId="77777777" w:rsidR="007D1C60" w:rsidRDefault="002E0972" w:rsidP="00F1325D">
      <w:pPr>
        <w:jc w:val="both"/>
        <w:rPr>
          <w:lang w:val="hr-HR"/>
        </w:rPr>
      </w:pPr>
      <w:r>
        <w:rPr>
          <w:lang w:val="hr-HR"/>
        </w:rPr>
        <w:t>Na kraju</w:t>
      </w:r>
      <w:r w:rsidR="00490C58">
        <w:rPr>
          <w:lang w:val="hr-HR"/>
        </w:rPr>
        <w:t xml:space="preserve"> još jednom naglašavamo </w:t>
      </w:r>
      <w:r>
        <w:rPr>
          <w:lang w:val="hr-HR"/>
        </w:rPr>
        <w:t>da</w:t>
      </w:r>
      <w:r w:rsidR="00490C58">
        <w:rPr>
          <w:lang w:val="hr-HR"/>
        </w:rPr>
        <w:t xml:space="preserve"> vremenski okvir provedbe Direktive INSPIRE ističe u mjesecu prosincu 2021. godine, te da je </w:t>
      </w:r>
      <w:r w:rsidR="00490C58" w:rsidRPr="002E0972">
        <w:rPr>
          <w:b/>
          <w:lang w:val="hr-HR"/>
        </w:rPr>
        <w:t>i dalje potreban angažman subjekata NIPP-a kako bi aktivnosti iz navedene Direktive bile ispunjene.</w:t>
      </w:r>
    </w:p>
    <w:p w14:paraId="7142D19B" w14:textId="77777777" w:rsidR="002A52FA" w:rsidRDefault="002A52FA">
      <w:pPr>
        <w:rPr>
          <w:lang w:val="hr-HR"/>
        </w:rPr>
      </w:pPr>
      <w:r>
        <w:rPr>
          <w:lang w:val="hr-HR"/>
        </w:rPr>
        <w:br w:type="page"/>
      </w:r>
    </w:p>
    <w:p w14:paraId="2B701FCB" w14:textId="77777777" w:rsidR="002A52FA" w:rsidRDefault="00995B17" w:rsidP="008C1448">
      <w:pPr>
        <w:pStyle w:val="Heading1"/>
        <w:numPr>
          <w:ilvl w:val="0"/>
          <w:numId w:val="14"/>
        </w:numPr>
        <w:ind w:left="426"/>
      </w:pPr>
      <w:bookmarkStart w:id="27" w:name="_Toc89761128"/>
      <w:r>
        <w:lastRenderedPageBreak/>
        <w:t>Popis</w:t>
      </w:r>
      <w:r w:rsidR="00001FF2">
        <w:t xml:space="preserve"> subjekata</w:t>
      </w:r>
      <w:bookmarkEnd w:id="27"/>
    </w:p>
    <w:p w14:paraId="07808B96" w14:textId="77777777" w:rsidR="0052440E" w:rsidRPr="0052440E" w:rsidRDefault="0052440E" w:rsidP="0052440E">
      <w:pPr>
        <w:rPr>
          <w:lang w:val="hr-HR"/>
        </w:rPr>
      </w:pPr>
    </w:p>
    <w:tbl>
      <w:tblPr>
        <w:tblW w:w="9493" w:type="dxa"/>
        <w:tblBorders>
          <w:insideH w:val="single" w:sz="4" w:space="0" w:color="auto"/>
        </w:tblBorders>
        <w:tblLook w:val="04A0" w:firstRow="1" w:lastRow="0" w:firstColumn="1" w:lastColumn="0" w:noHBand="0" w:noVBand="1"/>
      </w:tblPr>
      <w:tblGrid>
        <w:gridCol w:w="4678"/>
        <w:gridCol w:w="4815"/>
      </w:tblGrid>
      <w:tr w:rsidR="00916F60" w:rsidRPr="00916F60" w14:paraId="6F970420" w14:textId="77777777" w:rsidTr="005019A7">
        <w:trPr>
          <w:trHeight w:val="315"/>
        </w:trPr>
        <w:tc>
          <w:tcPr>
            <w:tcW w:w="4678" w:type="dxa"/>
            <w:shd w:val="clear" w:color="auto" w:fill="auto"/>
            <w:noWrap/>
            <w:vAlign w:val="bottom"/>
            <w:hideMark/>
          </w:tcPr>
          <w:p w14:paraId="6977AEFD" w14:textId="77777777" w:rsidR="00916F60" w:rsidRPr="00916F60" w:rsidRDefault="00916F60" w:rsidP="00916F60">
            <w:pPr>
              <w:spacing w:after="0" w:line="240" w:lineRule="auto"/>
              <w:rPr>
                <w:rFonts w:ascii="Calibri" w:eastAsia="Times New Roman" w:hAnsi="Calibri" w:cs="Calibri"/>
                <w:b/>
                <w:bCs/>
                <w:color w:val="000000"/>
                <w:sz w:val="24"/>
                <w:szCs w:val="24"/>
                <w:lang w:val="hr-HR" w:eastAsia="en-GB"/>
              </w:rPr>
            </w:pPr>
            <w:r w:rsidRPr="00916F60">
              <w:rPr>
                <w:rFonts w:ascii="Calibri" w:eastAsia="Times New Roman" w:hAnsi="Calibri" w:cs="Calibri"/>
                <w:b/>
                <w:bCs/>
                <w:color w:val="000000"/>
                <w:sz w:val="24"/>
                <w:szCs w:val="24"/>
                <w:lang w:val="hr-HR" w:eastAsia="en-GB"/>
              </w:rPr>
              <w:t>Popis subjekata iz Strategije i Strateškog plana NIPP-a (2017. - 2021.)</w:t>
            </w:r>
          </w:p>
          <w:p w14:paraId="2F811446" w14:textId="77777777" w:rsidR="00916F60" w:rsidRPr="00916F60" w:rsidRDefault="00916F60" w:rsidP="00916F60">
            <w:pPr>
              <w:spacing w:after="0" w:line="240" w:lineRule="auto"/>
              <w:rPr>
                <w:rFonts w:ascii="Calibri" w:eastAsia="Times New Roman" w:hAnsi="Calibri" w:cs="Calibri"/>
                <w:b/>
                <w:bCs/>
                <w:color w:val="000000"/>
                <w:sz w:val="24"/>
                <w:szCs w:val="24"/>
                <w:lang w:val="hr-HR" w:eastAsia="en-GB"/>
              </w:rPr>
            </w:pPr>
          </w:p>
        </w:tc>
        <w:tc>
          <w:tcPr>
            <w:tcW w:w="4815" w:type="dxa"/>
            <w:shd w:val="clear" w:color="auto" w:fill="auto"/>
            <w:noWrap/>
            <w:vAlign w:val="bottom"/>
            <w:hideMark/>
          </w:tcPr>
          <w:p w14:paraId="05F39EA5" w14:textId="77777777" w:rsidR="00916F60" w:rsidRPr="00FE5DF2" w:rsidRDefault="00916F60" w:rsidP="00916F60">
            <w:pPr>
              <w:spacing w:after="0" w:line="240" w:lineRule="auto"/>
              <w:rPr>
                <w:rFonts w:ascii="Calibri" w:eastAsia="Times New Roman" w:hAnsi="Calibri" w:cs="Calibri"/>
                <w:b/>
                <w:bCs/>
                <w:sz w:val="24"/>
                <w:szCs w:val="24"/>
                <w:lang w:val="hr-HR" w:eastAsia="en-GB"/>
              </w:rPr>
            </w:pPr>
            <w:r w:rsidRPr="00FE5DF2">
              <w:rPr>
                <w:rFonts w:ascii="Calibri" w:eastAsia="Times New Roman" w:hAnsi="Calibri" w:cs="Calibri"/>
                <w:b/>
                <w:bCs/>
                <w:sz w:val="24"/>
                <w:szCs w:val="24"/>
                <w:lang w:val="hr-HR" w:eastAsia="en-GB"/>
              </w:rPr>
              <w:t>Popis subjekata u trenutku izrade Izvješća (12.11.2021.)</w:t>
            </w:r>
          </w:p>
          <w:p w14:paraId="6E19D1EB" w14:textId="77777777" w:rsidR="00916F60" w:rsidRPr="00FE5DF2" w:rsidRDefault="00916F60" w:rsidP="00916F60">
            <w:pPr>
              <w:spacing w:after="0" w:line="240" w:lineRule="auto"/>
              <w:rPr>
                <w:rFonts w:ascii="Calibri" w:eastAsia="Times New Roman" w:hAnsi="Calibri" w:cs="Calibri"/>
                <w:b/>
                <w:bCs/>
                <w:sz w:val="24"/>
                <w:szCs w:val="24"/>
                <w:lang w:val="hr-HR" w:eastAsia="en-GB"/>
              </w:rPr>
            </w:pPr>
          </w:p>
        </w:tc>
      </w:tr>
      <w:tr w:rsidR="00916F60" w:rsidRPr="00916F60" w14:paraId="6A58D653" w14:textId="77777777" w:rsidTr="005019A7">
        <w:trPr>
          <w:trHeight w:val="315"/>
        </w:trPr>
        <w:tc>
          <w:tcPr>
            <w:tcW w:w="4678" w:type="dxa"/>
            <w:shd w:val="clear" w:color="000000" w:fill="FFFFFF"/>
            <w:noWrap/>
            <w:vAlign w:val="center"/>
          </w:tcPr>
          <w:p w14:paraId="0F86453A" w14:textId="77777777" w:rsidR="00916F60" w:rsidRPr="00916F60" w:rsidRDefault="00916F60" w:rsidP="00916F60">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Ministarstvo obrane</w:t>
            </w:r>
          </w:p>
        </w:tc>
        <w:tc>
          <w:tcPr>
            <w:tcW w:w="4815" w:type="dxa"/>
            <w:shd w:val="clear" w:color="000000" w:fill="FFFFFF"/>
            <w:noWrap/>
            <w:vAlign w:val="center"/>
          </w:tcPr>
          <w:p w14:paraId="2D1A7074" w14:textId="77777777" w:rsidR="00916F60" w:rsidRPr="00FE5DF2" w:rsidRDefault="00916F60" w:rsidP="00916F60">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 xml:space="preserve">Ministarstvo obrane </w:t>
            </w:r>
          </w:p>
        </w:tc>
      </w:tr>
      <w:tr w:rsidR="00916F60" w:rsidRPr="00916F60" w14:paraId="6D0064E7" w14:textId="77777777" w:rsidTr="005019A7">
        <w:trPr>
          <w:trHeight w:val="315"/>
        </w:trPr>
        <w:tc>
          <w:tcPr>
            <w:tcW w:w="4678" w:type="dxa"/>
            <w:shd w:val="clear" w:color="000000" w:fill="FFFFFF"/>
            <w:noWrap/>
          </w:tcPr>
          <w:p w14:paraId="6D23133A" w14:textId="77777777" w:rsidR="00916F60" w:rsidRPr="00916F60" w:rsidRDefault="00916F60" w:rsidP="00916F60">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Ministarstvo mora, prometa i infrastrukture</w:t>
            </w:r>
          </w:p>
        </w:tc>
        <w:tc>
          <w:tcPr>
            <w:tcW w:w="4815" w:type="dxa"/>
            <w:shd w:val="clear" w:color="000000" w:fill="FFFFFF"/>
            <w:noWrap/>
          </w:tcPr>
          <w:p w14:paraId="75A5998B" w14:textId="77777777" w:rsidR="00916F60" w:rsidRPr="00FE5DF2" w:rsidRDefault="00916F60" w:rsidP="00916F60">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Ministarstvo mora, prometa i infrastrukture</w:t>
            </w:r>
          </w:p>
        </w:tc>
      </w:tr>
      <w:tr w:rsidR="00B90584" w:rsidRPr="00916F60" w14:paraId="4207536A" w14:textId="77777777" w:rsidTr="005019A7">
        <w:trPr>
          <w:trHeight w:val="315"/>
        </w:trPr>
        <w:tc>
          <w:tcPr>
            <w:tcW w:w="4678" w:type="dxa"/>
            <w:shd w:val="clear" w:color="000000" w:fill="FFFFFF"/>
            <w:noWrap/>
            <w:vAlign w:val="center"/>
          </w:tcPr>
          <w:p w14:paraId="696E8150" w14:textId="77777777" w:rsidR="00B90584" w:rsidRPr="00B90584" w:rsidRDefault="00B90584" w:rsidP="00F50BD4">
            <w:pPr>
              <w:spacing w:after="0" w:line="240" w:lineRule="auto"/>
              <w:rPr>
                <w:rFonts w:ascii="Calibri" w:eastAsia="Times New Roman" w:hAnsi="Calibri" w:cs="Calibri"/>
                <w:sz w:val="24"/>
                <w:szCs w:val="24"/>
                <w:lang w:val="hr-HR" w:eastAsia="en-GB"/>
              </w:rPr>
            </w:pPr>
            <w:r w:rsidRPr="00916F60">
              <w:rPr>
                <w:rFonts w:ascii="Calibri" w:eastAsia="Times New Roman" w:hAnsi="Calibri" w:cs="Calibri"/>
                <w:sz w:val="24"/>
                <w:szCs w:val="24"/>
                <w:lang w:val="hr-HR" w:eastAsia="en-GB"/>
              </w:rPr>
              <w:t>Ministarstvo graditeljstva i prostornoga uređenja</w:t>
            </w:r>
          </w:p>
        </w:tc>
        <w:tc>
          <w:tcPr>
            <w:tcW w:w="4815" w:type="dxa"/>
            <w:shd w:val="clear" w:color="000000" w:fill="FFFFFF"/>
            <w:noWrap/>
            <w:vAlign w:val="center"/>
          </w:tcPr>
          <w:p w14:paraId="4F63C848" w14:textId="77777777" w:rsidR="00B90584" w:rsidRPr="00FE5DF2" w:rsidRDefault="00B90584" w:rsidP="00F50BD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Ministarstvo prostornoga uređenja, graditeljstva i državne imovine</w:t>
            </w:r>
          </w:p>
        </w:tc>
      </w:tr>
      <w:tr w:rsidR="00B90584" w:rsidRPr="00916F60" w14:paraId="3160F3A8" w14:textId="77777777" w:rsidTr="005019A7">
        <w:trPr>
          <w:trHeight w:val="315"/>
        </w:trPr>
        <w:tc>
          <w:tcPr>
            <w:tcW w:w="4678" w:type="dxa"/>
            <w:shd w:val="clear" w:color="000000" w:fill="FFFFFF"/>
            <w:noWrap/>
            <w:vAlign w:val="center"/>
          </w:tcPr>
          <w:p w14:paraId="2E17DA82" w14:textId="77777777" w:rsidR="00B90584" w:rsidRPr="00B90584" w:rsidRDefault="00B90584" w:rsidP="00F50BD4">
            <w:pPr>
              <w:spacing w:after="0" w:line="240" w:lineRule="auto"/>
              <w:rPr>
                <w:rFonts w:ascii="Calibri" w:eastAsia="Times New Roman" w:hAnsi="Calibri" w:cs="Calibri"/>
                <w:sz w:val="24"/>
                <w:szCs w:val="24"/>
                <w:lang w:val="hr-HR" w:eastAsia="en-GB"/>
              </w:rPr>
            </w:pPr>
            <w:r w:rsidRPr="00916F60">
              <w:rPr>
                <w:rFonts w:ascii="Calibri" w:eastAsia="Times New Roman" w:hAnsi="Calibri" w:cs="Calibri"/>
                <w:sz w:val="24"/>
                <w:szCs w:val="24"/>
                <w:lang w:val="hr-HR" w:eastAsia="en-GB"/>
              </w:rPr>
              <w:t>Ministarstvo zdravstva</w:t>
            </w:r>
          </w:p>
        </w:tc>
        <w:tc>
          <w:tcPr>
            <w:tcW w:w="4815" w:type="dxa"/>
            <w:shd w:val="clear" w:color="000000" w:fill="FFFFFF"/>
            <w:noWrap/>
            <w:vAlign w:val="center"/>
          </w:tcPr>
          <w:p w14:paraId="64266E43" w14:textId="77777777" w:rsidR="00B90584" w:rsidRPr="00FE5DF2" w:rsidRDefault="00B90584" w:rsidP="00F50BD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Ministarstvo zdravstva</w:t>
            </w:r>
          </w:p>
        </w:tc>
      </w:tr>
      <w:tr w:rsidR="00B90584" w:rsidRPr="00916F60" w14:paraId="54C9F383" w14:textId="77777777" w:rsidTr="005019A7">
        <w:trPr>
          <w:trHeight w:val="315"/>
        </w:trPr>
        <w:tc>
          <w:tcPr>
            <w:tcW w:w="4678" w:type="dxa"/>
            <w:shd w:val="clear" w:color="000000" w:fill="FFFFFF"/>
            <w:noWrap/>
            <w:vAlign w:val="center"/>
          </w:tcPr>
          <w:p w14:paraId="6F703C69" w14:textId="77777777" w:rsidR="00B90584" w:rsidRPr="00B90584" w:rsidRDefault="00B90584" w:rsidP="00F50BD4">
            <w:pPr>
              <w:spacing w:after="0" w:line="240" w:lineRule="auto"/>
              <w:rPr>
                <w:rFonts w:ascii="Calibri" w:eastAsia="Times New Roman" w:hAnsi="Calibri" w:cs="Calibri"/>
                <w:sz w:val="24"/>
                <w:szCs w:val="24"/>
                <w:lang w:val="hr-HR" w:eastAsia="en-GB"/>
              </w:rPr>
            </w:pPr>
            <w:r w:rsidRPr="00916F60">
              <w:rPr>
                <w:rFonts w:ascii="Calibri" w:eastAsia="Times New Roman" w:hAnsi="Calibri" w:cs="Calibri"/>
                <w:sz w:val="24"/>
                <w:szCs w:val="24"/>
                <w:lang w:val="hr-HR" w:eastAsia="en-GB"/>
              </w:rPr>
              <w:t>Ministarstvo kulture</w:t>
            </w:r>
          </w:p>
        </w:tc>
        <w:tc>
          <w:tcPr>
            <w:tcW w:w="4815" w:type="dxa"/>
            <w:shd w:val="clear" w:color="000000" w:fill="FFFFFF"/>
            <w:noWrap/>
            <w:vAlign w:val="center"/>
          </w:tcPr>
          <w:p w14:paraId="3FCA73D1" w14:textId="77777777" w:rsidR="00B90584" w:rsidRPr="00FE5DF2" w:rsidRDefault="00B90584" w:rsidP="00F50BD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Ministarstvo kulture i medija</w:t>
            </w:r>
          </w:p>
        </w:tc>
      </w:tr>
      <w:tr w:rsidR="00B90584" w:rsidRPr="00916F60" w14:paraId="2C4F3B75" w14:textId="77777777" w:rsidTr="005019A7">
        <w:trPr>
          <w:trHeight w:val="315"/>
        </w:trPr>
        <w:tc>
          <w:tcPr>
            <w:tcW w:w="4678" w:type="dxa"/>
            <w:shd w:val="clear" w:color="000000" w:fill="FFFFFF"/>
            <w:noWrap/>
            <w:vAlign w:val="center"/>
          </w:tcPr>
          <w:p w14:paraId="628FD994" w14:textId="77777777" w:rsidR="00B90584" w:rsidRPr="00B90584" w:rsidRDefault="00B90584" w:rsidP="00F50BD4">
            <w:pPr>
              <w:spacing w:after="0" w:line="240" w:lineRule="auto"/>
              <w:rPr>
                <w:rFonts w:ascii="Calibri" w:eastAsia="Times New Roman" w:hAnsi="Calibri" w:cs="Calibri"/>
                <w:sz w:val="24"/>
                <w:szCs w:val="24"/>
                <w:lang w:val="hr-HR" w:eastAsia="en-GB"/>
              </w:rPr>
            </w:pPr>
            <w:r w:rsidRPr="00B90584">
              <w:rPr>
                <w:rFonts w:ascii="Calibri" w:eastAsia="Times New Roman" w:hAnsi="Calibri" w:cs="Calibri"/>
                <w:sz w:val="24"/>
                <w:szCs w:val="24"/>
                <w:lang w:val="hr-HR" w:eastAsia="en-GB"/>
              </w:rPr>
              <w:t xml:space="preserve">Ministarstvo poljoprivrede </w:t>
            </w:r>
          </w:p>
        </w:tc>
        <w:tc>
          <w:tcPr>
            <w:tcW w:w="4815" w:type="dxa"/>
            <w:vMerge w:val="restart"/>
            <w:shd w:val="clear" w:color="000000" w:fill="FFFFFF"/>
            <w:noWrap/>
            <w:vAlign w:val="center"/>
          </w:tcPr>
          <w:p w14:paraId="439AFFAC" w14:textId="77777777" w:rsidR="00B90584" w:rsidRPr="00FE5DF2" w:rsidRDefault="00B90584" w:rsidP="00F50BD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Ministarstvo poljoprivrede</w:t>
            </w:r>
          </w:p>
        </w:tc>
      </w:tr>
      <w:tr w:rsidR="00B90584" w:rsidRPr="00916F60" w14:paraId="276E7EEF" w14:textId="77777777" w:rsidTr="005019A7">
        <w:trPr>
          <w:trHeight w:val="315"/>
        </w:trPr>
        <w:tc>
          <w:tcPr>
            <w:tcW w:w="4678" w:type="dxa"/>
            <w:shd w:val="clear" w:color="000000" w:fill="FFFFFF"/>
            <w:noWrap/>
            <w:vAlign w:val="center"/>
          </w:tcPr>
          <w:p w14:paraId="76A8C666" w14:textId="4A5C55C3" w:rsidR="00B90584" w:rsidRPr="00916F60" w:rsidRDefault="00B90584" w:rsidP="00916F60">
            <w:pPr>
              <w:spacing w:after="0" w:line="240" w:lineRule="auto"/>
              <w:rPr>
                <w:rFonts w:ascii="Calibri" w:eastAsia="Times New Roman" w:hAnsi="Calibri" w:cs="Calibri"/>
                <w:color w:val="000000"/>
                <w:sz w:val="24"/>
                <w:szCs w:val="24"/>
                <w:lang w:val="hr-HR" w:eastAsia="en-GB"/>
              </w:rPr>
            </w:pPr>
            <w:r w:rsidRPr="00B90584">
              <w:rPr>
                <w:rFonts w:ascii="Calibri" w:eastAsia="Times New Roman" w:hAnsi="Calibri" w:cs="Calibri"/>
                <w:sz w:val="24"/>
                <w:szCs w:val="24"/>
                <w:lang w:val="hr-HR" w:eastAsia="en-GB"/>
              </w:rPr>
              <w:t>Agencija za poljoprivredno zemljište</w:t>
            </w:r>
          </w:p>
        </w:tc>
        <w:tc>
          <w:tcPr>
            <w:tcW w:w="4815" w:type="dxa"/>
            <w:vMerge/>
            <w:vAlign w:val="center"/>
          </w:tcPr>
          <w:p w14:paraId="43D04186" w14:textId="77777777" w:rsidR="00B90584" w:rsidRPr="00FE5DF2" w:rsidRDefault="00B90584" w:rsidP="00916F60">
            <w:pPr>
              <w:spacing w:after="0" w:line="240" w:lineRule="auto"/>
              <w:rPr>
                <w:rFonts w:ascii="Calibri" w:eastAsia="Times New Roman" w:hAnsi="Calibri" w:cs="Calibri"/>
                <w:sz w:val="24"/>
                <w:szCs w:val="24"/>
                <w:lang w:val="hr-HR" w:eastAsia="en-GB"/>
              </w:rPr>
            </w:pPr>
          </w:p>
        </w:tc>
      </w:tr>
      <w:tr w:rsidR="00B90584" w:rsidRPr="00916F60" w14:paraId="08E03B23" w14:textId="77777777" w:rsidTr="005019A7">
        <w:trPr>
          <w:trHeight w:val="219"/>
        </w:trPr>
        <w:tc>
          <w:tcPr>
            <w:tcW w:w="4678" w:type="dxa"/>
            <w:shd w:val="clear" w:color="000000" w:fill="FFFFFF"/>
            <w:noWrap/>
            <w:vAlign w:val="center"/>
          </w:tcPr>
          <w:p w14:paraId="550854B7" w14:textId="77777777" w:rsidR="00B90584" w:rsidRPr="00916F60" w:rsidRDefault="00B90584" w:rsidP="00916F60">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color w:val="000000"/>
                <w:sz w:val="24"/>
                <w:szCs w:val="24"/>
                <w:lang w:val="hr-HR" w:eastAsia="en-GB"/>
              </w:rPr>
              <w:t>Savjetodavna služba</w:t>
            </w:r>
          </w:p>
        </w:tc>
        <w:tc>
          <w:tcPr>
            <w:tcW w:w="4815" w:type="dxa"/>
            <w:vMerge/>
            <w:noWrap/>
            <w:vAlign w:val="center"/>
          </w:tcPr>
          <w:p w14:paraId="3BA6CBAB" w14:textId="77777777" w:rsidR="00B90584" w:rsidRPr="00FE5DF2" w:rsidRDefault="00B90584" w:rsidP="00916F60">
            <w:pPr>
              <w:spacing w:after="0" w:line="240" w:lineRule="auto"/>
              <w:rPr>
                <w:rFonts w:ascii="Calibri" w:eastAsia="Times New Roman" w:hAnsi="Calibri" w:cs="Calibri"/>
                <w:sz w:val="24"/>
                <w:szCs w:val="24"/>
                <w:lang w:val="hr-HR" w:eastAsia="en-GB"/>
              </w:rPr>
            </w:pPr>
          </w:p>
        </w:tc>
      </w:tr>
      <w:tr w:rsidR="00916F60" w:rsidRPr="00916F60" w14:paraId="49283CC0" w14:textId="77777777" w:rsidTr="005019A7">
        <w:trPr>
          <w:trHeight w:val="315"/>
        </w:trPr>
        <w:tc>
          <w:tcPr>
            <w:tcW w:w="4678" w:type="dxa"/>
            <w:shd w:val="clear" w:color="000000" w:fill="FFFFFF"/>
            <w:noWrap/>
          </w:tcPr>
          <w:p w14:paraId="00462F3D" w14:textId="77777777" w:rsidR="00916F60" w:rsidRPr="00916F60" w:rsidRDefault="00916F60" w:rsidP="00916F60">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Ministarstvo zaštite okoliša i energetike</w:t>
            </w:r>
          </w:p>
        </w:tc>
        <w:tc>
          <w:tcPr>
            <w:tcW w:w="4815" w:type="dxa"/>
            <w:vMerge w:val="restart"/>
            <w:shd w:val="clear" w:color="000000" w:fill="FFFFFF"/>
            <w:noWrap/>
            <w:vAlign w:val="center"/>
          </w:tcPr>
          <w:p w14:paraId="1F8EED09" w14:textId="77777777" w:rsidR="00916F60" w:rsidRPr="00FE5DF2" w:rsidRDefault="00916F60" w:rsidP="00916F60">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Ministarstvo gospodarstva i održivog razvoja</w:t>
            </w:r>
          </w:p>
        </w:tc>
      </w:tr>
      <w:tr w:rsidR="00916F60" w:rsidRPr="00916F60" w14:paraId="5B33C996" w14:textId="77777777" w:rsidTr="005019A7">
        <w:trPr>
          <w:trHeight w:val="315"/>
        </w:trPr>
        <w:tc>
          <w:tcPr>
            <w:tcW w:w="4678" w:type="dxa"/>
            <w:shd w:val="clear" w:color="000000" w:fill="FFFFFF"/>
            <w:noWrap/>
          </w:tcPr>
          <w:p w14:paraId="27AF68BE" w14:textId="77777777" w:rsidR="00916F60" w:rsidRPr="00916F60" w:rsidRDefault="00916F60" w:rsidP="00916F60">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Hrvatska agencija za okoliš i prirodu</w:t>
            </w:r>
          </w:p>
        </w:tc>
        <w:tc>
          <w:tcPr>
            <w:tcW w:w="4815" w:type="dxa"/>
            <w:vMerge/>
            <w:noWrap/>
            <w:vAlign w:val="center"/>
          </w:tcPr>
          <w:p w14:paraId="0F521672" w14:textId="77777777" w:rsidR="00916F60" w:rsidRPr="00FE5DF2" w:rsidRDefault="00916F60" w:rsidP="00916F60">
            <w:pPr>
              <w:spacing w:after="0" w:line="240" w:lineRule="auto"/>
              <w:rPr>
                <w:rFonts w:ascii="Calibri" w:eastAsia="Times New Roman" w:hAnsi="Calibri" w:cs="Calibri"/>
                <w:sz w:val="24"/>
                <w:szCs w:val="24"/>
                <w:lang w:val="hr-HR" w:eastAsia="en-GB"/>
              </w:rPr>
            </w:pPr>
          </w:p>
        </w:tc>
      </w:tr>
      <w:tr w:rsidR="00B90584" w:rsidRPr="00916F60" w14:paraId="17924E08" w14:textId="77777777" w:rsidTr="005019A7">
        <w:trPr>
          <w:trHeight w:val="315"/>
        </w:trPr>
        <w:tc>
          <w:tcPr>
            <w:tcW w:w="4678" w:type="dxa"/>
            <w:shd w:val="clear" w:color="000000" w:fill="FFFFFF"/>
            <w:noWrap/>
          </w:tcPr>
          <w:p w14:paraId="0AC37815" w14:textId="77777777" w:rsidR="00B90584" w:rsidRPr="00916F60" w:rsidRDefault="00B90584" w:rsidP="00B90584">
            <w:pPr>
              <w:spacing w:after="0" w:line="240" w:lineRule="auto"/>
              <w:rPr>
                <w:rFonts w:ascii="Calibri" w:eastAsia="Times New Roman" w:hAnsi="Calibri" w:cs="Calibri"/>
                <w:sz w:val="24"/>
                <w:szCs w:val="24"/>
                <w:lang w:val="hr-HR" w:eastAsia="en-GB"/>
              </w:rPr>
            </w:pPr>
            <w:r w:rsidRPr="00916F60">
              <w:rPr>
                <w:rFonts w:ascii="Calibri" w:eastAsia="Times New Roman" w:hAnsi="Calibri" w:cs="Calibri"/>
                <w:sz w:val="24"/>
                <w:szCs w:val="24"/>
                <w:lang w:val="hr-HR" w:eastAsia="en-GB"/>
              </w:rPr>
              <w:t>Hrvatski centar za razminiranje</w:t>
            </w:r>
          </w:p>
        </w:tc>
        <w:tc>
          <w:tcPr>
            <w:tcW w:w="4815" w:type="dxa"/>
            <w:vMerge w:val="restart"/>
            <w:shd w:val="clear" w:color="000000" w:fill="FFFFFF"/>
            <w:vAlign w:val="center"/>
          </w:tcPr>
          <w:p w14:paraId="07E28198" w14:textId="77777777" w:rsidR="00B90584" w:rsidRPr="00EF5B41"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Ministarstvo unutarnjih poslova</w:t>
            </w:r>
          </w:p>
        </w:tc>
      </w:tr>
      <w:tr w:rsidR="00B90584" w:rsidRPr="00916F60" w14:paraId="16CD97EC" w14:textId="77777777" w:rsidTr="005019A7">
        <w:trPr>
          <w:trHeight w:val="315"/>
        </w:trPr>
        <w:tc>
          <w:tcPr>
            <w:tcW w:w="4678" w:type="dxa"/>
            <w:vMerge w:val="restart"/>
            <w:shd w:val="clear" w:color="000000" w:fill="FFFFFF"/>
            <w:noWrap/>
          </w:tcPr>
          <w:p w14:paraId="62C84A04" w14:textId="77777777" w:rsidR="00B90584" w:rsidRPr="00916F60" w:rsidRDefault="00B90584" w:rsidP="00B90584">
            <w:pPr>
              <w:spacing w:after="0" w:line="240" w:lineRule="auto"/>
              <w:rPr>
                <w:rFonts w:ascii="Calibri" w:eastAsia="Times New Roman" w:hAnsi="Calibri" w:cs="Calibri"/>
                <w:sz w:val="24"/>
                <w:szCs w:val="24"/>
                <w:lang w:val="hr-HR" w:eastAsia="en-GB"/>
              </w:rPr>
            </w:pPr>
            <w:r w:rsidRPr="00B90584">
              <w:rPr>
                <w:rFonts w:ascii="Calibri" w:eastAsia="Times New Roman" w:hAnsi="Calibri" w:cs="Calibri"/>
                <w:sz w:val="24"/>
                <w:szCs w:val="24"/>
                <w:lang w:val="hr-HR" w:eastAsia="en-GB"/>
              </w:rPr>
              <w:t>Državna uprava za zaštitu i spašavanje</w:t>
            </w:r>
          </w:p>
        </w:tc>
        <w:tc>
          <w:tcPr>
            <w:tcW w:w="4815" w:type="dxa"/>
            <w:vMerge/>
            <w:shd w:val="clear" w:color="000000" w:fill="FFFFFF"/>
          </w:tcPr>
          <w:p w14:paraId="38CC75BD" w14:textId="77777777" w:rsidR="00B90584" w:rsidRPr="00EF5B41" w:rsidRDefault="00B90584" w:rsidP="00B90584">
            <w:pPr>
              <w:spacing w:after="0" w:line="240" w:lineRule="auto"/>
              <w:rPr>
                <w:rFonts w:ascii="Calibri" w:eastAsia="Times New Roman" w:hAnsi="Calibri" w:cs="Calibri"/>
                <w:sz w:val="24"/>
                <w:szCs w:val="24"/>
                <w:lang w:val="hr-HR" w:eastAsia="en-GB"/>
              </w:rPr>
            </w:pPr>
          </w:p>
        </w:tc>
      </w:tr>
      <w:tr w:rsidR="00B90584" w:rsidRPr="00916F60" w14:paraId="426364B4" w14:textId="77777777" w:rsidTr="005019A7">
        <w:trPr>
          <w:trHeight w:val="315"/>
        </w:trPr>
        <w:tc>
          <w:tcPr>
            <w:tcW w:w="4678" w:type="dxa"/>
            <w:vMerge/>
            <w:shd w:val="clear" w:color="000000" w:fill="FFFFFF"/>
            <w:noWrap/>
          </w:tcPr>
          <w:p w14:paraId="6849FE6A" w14:textId="77777777" w:rsidR="00B90584" w:rsidRPr="00B90584" w:rsidRDefault="00B90584" w:rsidP="00B90584">
            <w:pPr>
              <w:spacing w:after="0" w:line="240" w:lineRule="auto"/>
              <w:rPr>
                <w:rFonts w:ascii="Calibri" w:eastAsia="Times New Roman" w:hAnsi="Calibri" w:cs="Calibri"/>
                <w:sz w:val="24"/>
                <w:szCs w:val="24"/>
                <w:lang w:val="hr-HR" w:eastAsia="en-GB"/>
              </w:rPr>
            </w:pPr>
          </w:p>
        </w:tc>
        <w:tc>
          <w:tcPr>
            <w:tcW w:w="4815" w:type="dxa"/>
            <w:shd w:val="clear" w:color="000000" w:fill="FFFFFF"/>
          </w:tcPr>
          <w:p w14:paraId="79B225DC" w14:textId="77777777" w:rsidR="00B90584" w:rsidRPr="00EF5B41" w:rsidRDefault="00B90584" w:rsidP="00B90584">
            <w:pPr>
              <w:spacing w:after="0" w:line="240" w:lineRule="auto"/>
              <w:rPr>
                <w:rFonts w:ascii="Calibri" w:eastAsia="Times New Roman" w:hAnsi="Calibri" w:cs="Calibri"/>
                <w:sz w:val="24"/>
                <w:szCs w:val="24"/>
                <w:lang w:val="hr-HR" w:eastAsia="en-GB"/>
              </w:rPr>
            </w:pPr>
            <w:r w:rsidRPr="00EF5B41">
              <w:rPr>
                <w:rFonts w:ascii="Calibri" w:eastAsia="Times New Roman" w:hAnsi="Calibri" w:cs="Calibri"/>
                <w:sz w:val="24"/>
                <w:szCs w:val="24"/>
                <w:lang w:val="hr-HR" w:eastAsia="en-GB"/>
              </w:rPr>
              <w:t>Hrvatska vatrogasna zajednica</w:t>
            </w:r>
          </w:p>
        </w:tc>
      </w:tr>
      <w:tr w:rsidR="00B90584" w:rsidRPr="00916F60" w14:paraId="2F08CD6A" w14:textId="77777777" w:rsidTr="005019A7">
        <w:trPr>
          <w:trHeight w:val="315"/>
        </w:trPr>
        <w:tc>
          <w:tcPr>
            <w:tcW w:w="4678" w:type="dxa"/>
            <w:shd w:val="clear" w:color="000000" w:fill="FFFFFF"/>
            <w:noWrap/>
          </w:tcPr>
          <w:p w14:paraId="7A1B29ED" w14:textId="77777777" w:rsidR="00B90584" w:rsidRPr="00916F60" w:rsidRDefault="00B90584" w:rsidP="00B90584">
            <w:pPr>
              <w:spacing w:after="0" w:line="240" w:lineRule="auto"/>
              <w:rPr>
                <w:rFonts w:ascii="Calibri" w:eastAsia="Times New Roman" w:hAnsi="Calibri" w:cs="Calibri"/>
                <w:sz w:val="24"/>
                <w:szCs w:val="24"/>
                <w:lang w:val="hr-HR" w:eastAsia="en-GB"/>
              </w:rPr>
            </w:pPr>
            <w:r w:rsidRPr="00916F60">
              <w:rPr>
                <w:rFonts w:ascii="Calibri" w:eastAsia="Times New Roman" w:hAnsi="Calibri" w:cs="Calibri"/>
                <w:sz w:val="24"/>
                <w:szCs w:val="24"/>
                <w:lang w:val="hr-HR" w:eastAsia="en-GB"/>
              </w:rPr>
              <w:t xml:space="preserve">Državna geodetska uprava </w:t>
            </w:r>
            <w:r>
              <w:rPr>
                <w:rFonts w:ascii="Calibri" w:eastAsia="Times New Roman" w:hAnsi="Calibri" w:cs="Calibri"/>
                <w:sz w:val="24"/>
                <w:szCs w:val="24"/>
                <w:lang w:val="hr-HR" w:eastAsia="en-GB"/>
              </w:rPr>
              <w:t>(subjekt i Nacionala kontaktna točka NIPP-a u provedbi Direktive INSPIRE</w:t>
            </w:r>
            <w:r w:rsidRPr="00916F60">
              <w:rPr>
                <w:rFonts w:ascii="Calibri" w:eastAsia="Times New Roman" w:hAnsi="Calibri" w:cs="Calibri"/>
                <w:sz w:val="24"/>
                <w:szCs w:val="24"/>
                <w:lang w:val="hr-HR" w:eastAsia="en-GB"/>
              </w:rPr>
              <w:t>)</w:t>
            </w:r>
          </w:p>
        </w:tc>
        <w:tc>
          <w:tcPr>
            <w:tcW w:w="4815" w:type="dxa"/>
            <w:shd w:val="clear" w:color="000000" w:fill="FFFFFF"/>
          </w:tcPr>
          <w:p w14:paraId="7F244F72"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EF5B41">
              <w:rPr>
                <w:rFonts w:ascii="Calibri" w:eastAsia="Times New Roman" w:hAnsi="Calibri" w:cs="Calibri"/>
                <w:sz w:val="24"/>
                <w:szCs w:val="24"/>
                <w:lang w:val="hr-HR" w:eastAsia="en-GB"/>
              </w:rPr>
              <w:t>Državna geodetska uprava (subjekt i Nacionala kontaktna točka NIPP-a u provedbi Direktive INSPIRE)</w:t>
            </w:r>
          </w:p>
        </w:tc>
      </w:tr>
      <w:tr w:rsidR="00B90584" w:rsidRPr="00916F60" w14:paraId="1CF3ECF3" w14:textId="77777777" w:rsidTr="005019A7">
        <w:trPr>
          <w:trHeight w:val="315"/>
        </w:trPr>
        <w:tc>
          <w:tcPr>
            <w:tcW w:w="4678" w:type="dxa"/>
            <w:shd w:val="clear" w:color="000000" w:fill="FFFFFF"/>
            <w:noWrap/>
          </w:tcPr>
          <w:p w14:paraId="6D7F913F" w14:textId="77777777" w:rsidR="00B90584" w:rsidRPr="00916F60" w:rsidRDefault="00B90584" w:rsidP="00B90584">
            <w:pPr>
              <w:spacing w:after="0" w:line="240" w:lineRule="auto"/>
              <w:rPr>
                <w:rFonts w:ascii="Calibri" w:eastAsia="Times New Roman" w:hAnsi="Calibri" w:cs="Calibri"/>
                <w:sz w:val="24"/>
                <w:szCs w:val="24"/>
                <w:lang w:val="hr-HR" w:eastAsia="en-GB"/>
              </w:rPr>
            </w:pPr>
            <w:r w:rsidRPr="00916F60">
              <w:rPr>
                <w:rFonts w:ascii="Calibri" w:eastAsia="Times New Roman" w:hAnsi="Calibri" w:cs="Calibri"/>
                <w:sz w:val="24"/>
                <w:szCs w:val="24"/>
                <w:lang w:val="hr-HR" w:eastAsia="en-GB"/>
              </w:rPr>
              <w:t>Državni hidrometeorološki zavod</w:t>
            </w:r>
          </w:p>
        </w:tc>
        <w:tc>
          <w:tcPr>
            <w:tcW w:w="4815" w:type="dxa"/>
            <w:shd w:val="clear" w:color="000000" w:fill="FFFFFF"/>
            <w:noWrap/>
          </w:tcPr>
          <w:p w14:paraId="51F41C71" w14:textId="77777777" w:rsidR="00B90584" w:rsidRPr="00EF5B41" w:rsidRDefault="00B90584" w:rsidP="00B90584">
            <w:pPr>
              <w:spacing w:after="0" w:line="240" w:lineRule="auto"/>
              <w:rPr>
                <w:rFonts w:ascii="Calibri" w:eastAsia="Times New Roman" w:hAnsi="Calibri" w:cs="Calibri"/>
                <w:sz w:val="24"/>
                <w:szCs w:val="24"/>
                <w:lang w:val="hr-HR" w:eastAsia="en-GB"/>
              </w:rPr>
            </w:pPr>
            <w:r w:rsidRPr="00EF5B41">
              <w:rPr>
                <w:rFonts w:ascii="Calibri" w:eastAsia="Times New Roman" w:hAnsi="Calibri" w:cs="Calibri"/>
                <w:sz w:val="24"/>
                <w:szCs w:val="24"/>
                <w:lang w:val="hr-HR" w:eastAsia="en-GB"/>
              </w:rPr>
              <w:t>Državni hidrometeorološki zavod</w:t>
            </w:r>
          </w:p>
        </w:tc>
      </w:tr>
      <w:tr w:rsidR="00B90584" w:rsidRPr="00916F60" w14:paraId="2895EE90" w14:textId="77777777" w:rsidTr="005019A7">
        <w:trPr>
          <w:trHeight w:val="315"/>
        </w:trPr>
        <w:tc>
          <w:tcPr>
            <w:tcW w:w="4678" w:type="dxa"/>
            <w:shd w:val="clear" w:color="000000" w:fill="FFFFFF"/>
            <w:noWrap/>
          </w:tcPr>
          <w:p w14:paraId="54D5EE35"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Državni zavod za statistiku</w:t>
            </w:r>
          </w:p>
        </w:tc>
        <w:tc>
          <w:tcPr>
            <w:tcW w:w="4815" w:type="dxa"/>
            <w:shd w:val="clear" w:color="000000" w:fill="FFFFFF"/>
            <w:noWrap/>
          </w:tcPr>
          <w:p w14:paraId="2E204F7B"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Državni zavod za statistiku</w:t>
            </w:r>
          </w:p>
        </w:tc>
      </w:tr>
      <w:tr w:rsidR="00B90584" w:rsidRPr="00916F60" w14:paraId="2A7BA224" w14:textId="77777777" w:rsidTr="005019A7">
        <w:trPr>
          <w:trHeight w:val="315"/>
        </w:trPr>
        <w:tc>
          <w:tcPr>
            <w:tcW w:w="4678" w:type="dxa"/>
            <w:shd w:val="clear" w:color="000000" w:fill="FFFFFF"/>
            <w:noWrap/>
          </w:tcPr>
          <w:p w14:paraId="1AEDCBBA"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Hrvatski hidrografski institut</w:t>
            </w:r>
          </w:p>
        </w:tc>
        <w:tc>
          <w:tcPr>
            <w:tcW w:w="4815" w:type="dxa"/>
            <w:shd w:val="clear" w:color="000000" w:fill="FFFFFF"/>
            <w:noWrap/>
          </w:tcPr>
          <w:p w14:paraId="2FAD6800"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Hrvatski hidrografski institut</w:t>
            </w:r>
          </w:p>
        </w:tc>
      </w:tr>
      <w:tr w:rsidR="00B90584" w:rsidRPr="00916F60" w14:paraId="466D9D9C" w14:textId="77777777" w:rsidTr="005019A7">
        <w:trPr>
          <w:trHeight w:val="315"/>
        </w:trPr>
        <w:tc>
          <w:tcPr>
            <w:tcW w:w="4678" w:type="dxa"/>
            <w:shd w:val="clear" w:color="000000" w:fill="FFFFFF"/>
            <w:noWrap/>
          </w:tcPr>
          <w:p w14:paraId="64080642"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Hrvatski geološki institut</w:t>
            </w:r>
          </w:p>
        </w:tc>
        <w:tc>
          <w:tcPr>
            <w:tcW w:w="4815" w:type="dxa"/>
            <w:shd w:val="clear" w:color="000000" w:fill="FFFFFF"/>
            <w:noWrap/>
          </w:tcPr>
          <w:p w14:paraId="22E5013F"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Hrvatski geološki institut</w:t>
            </w:r>
          </w:p>
        </w:tc>
      </w:tr>
      <w:tr w:rsidR="00B90584" w:rsidRPr="00916F60" w14:paraId="1A6A8703" w14:textId="77777777" w:rsidTr="005019A7">
        <w:trPr>
          <w:trHeight w:val="315"/>
        </w:trPr>
        <w:tc>
          <w:tcPr>
            <w:tcW w:w="4678" w:type="dxa"/>
            <w:shd w:val="clear" w:color="000000" w:fill="FFFFFF"/>
            <w:noWrap/>
          </w:tcPr>
          <w:p w14:paraId="76444DB3"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Agencija za plaćanja u poljoprivredi, ribarstvu i ruralnom razvoju</w:t>
            </w:r>
          </w:p>
        </w:tc>
        <w:tc>
          <w:tcPr>
            <w:tcW w:w="4815" w:type="dxa"/>
            <w:shd w:val="clear" w:color="000000" w:fill="FFFFFF"/>
            <w:noWrap/>
          </w:tcPr>
          <w:p w14:paraId="3565B8AD"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Agencija za plaćanja u poljoprivredi, ribarstvu i ruralnom razvoju</w:t>
            </w:r>
          </w:p>
        </w:tc>
      </w:tr>
      <w:tr w:rsidR="00B90584" w:rsidRPr="00916F60" w14:paraId="1F18D4F7" w14:textId="77777777" w:rsidTr="005019A7">
        <w:trPr>
          <w:trHeight w:val="315"/>
        </w:trPr>
        <w:tc>
          <w:tcPr>
            <w:tcW w:w="4678" w:type="dxa"/>
            <w:shd w:val="clear" w:color="000000" w:fill="FFFFFF"/>
            <w:noWrap/>
          </w:tcPr>
          <w:p w14:paraId="03CA407B"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Hrvatska regulatorna agencija za mrežne djelatnosti</w:t>
            </w:r>
          </w:p>
        </w:tc>
        <w:tc>
          <w:tcPr>
            <w:tcW w:w="4815" w:type="dxa"/>
            <w:shd w:val="clear" w:color="000000" w:fill="FFFFFF"/>
            <w:noWrap/>
          </w:tcPr>
          <w:p w14:paraId="01185F9E"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Hrvatska regulatorna agencija za mrežne djelatnosti</w:t>
            </w:r>
          </w:p>
        </w:tc>
      </w:tr>
      <w:tr w:rsidR="00B90584" w:rsidRPr="00916F60" w14:paraId="26B792C6" w14:textId="77777777" w:rsidTr="005019A7">
        <w:trPr>
          <w:trHeight w:val="315"/>
        </w:trPr>
        <w:tc>
          <w:tcPr>
            <w:tcW w:w="4678" w:type="dxa"/>
            <w:shd w:val="clear" w:color="000000" w:fill="FFFFFF"/>
            <w:noWrap/>
          </w:tcPr>
          <w:p w14:paraId="16AED3C9"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Hrvatske autoceste d.o.o.</w:t>
            </w:r>
          </w:p>
        </w:tc>
        <w:tc>
          <w:tcPr>
            <w:tcW w:w="4815" w:type="dxa"/>
            <w:shd w:val="clear" w:color="000000" w:fill="FFFFFF"/>
            <w:noWrap/>
          </w:tcPr>
          <w:p w14:paraId="4BFF9302"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Hrvatske autoceste d.o.o.</w:t>
            </w:r>
          </w:p>
        </w:tc>
      </w:tr>
      <w:tr w:rsidR="00B90584" w:rsidRPr="00916F60" w14:paraId="553A428B" w14:textId="77777777" w:rsidTr="005019A7">
        <w:trPr>
          <w:trHeight w:val="315"/>
        </w:trPr>
        <w:tc>
          <w:tcPr>
            <w:tcW w:w="4678" w:type="dxa"/>
            <w:shd w:val="clear" w:color="000000" w:fill="FFFFFF"/>
            <w:noWrap/>
          </w:tcPr>
          <w:p w14:paraId="6B868C65"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Hrvatske ceste d.o.o.</w:t>
            </w:r>
          </w:p>
        </w:tc>
        <w:tc>
          <w:tcPr>
            <w:tcW w:w="4815" w:type="dxa"/>
            <w:shd w:val="clear" w:color="000000" w:fill="FFFFFF"/>
            <w:noWrap/>
          </w:tcPr>
          <w:p w14:paraId="23C4F00F"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Hrvatske ceste d.o.o.</w:t>
            </w:r>
          </w:p>
        </w:tc>
      </w:tr>
      <w:tr w:rsidR="00B90584" w:rsidRPr="00916F60" w14:paraId="40BC47CC" w14:textId="77777777" w:rsidTr="005019A7">
        <w:trPr>
          <w:trHeight w:val="315"/>
        </w:trPr>
        <w:tc>
          <w:tcPr>
            <w:tcW w:w="4678" w:type="dxa"/>
            <w:shd w:val="clear" w:color="000000" w:fill="FFFFFF"/>
            <w:noWrap/>
          </w:tcPr>
          <w:p w14:paraId="3717B932"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Hrvatske šume d.o.o.</w:t>
            </w:r>
          </w:p>
        </w:tc>
        <w:tc>
          <w:tcPr>
            <w:tcW w:w="4815" w:type="dxa"/>
            <w:shd w:val="clear" w:color="000000" w:fill="FFFFFF"/>
            <w:noWrap/>
          </w:tcPr>
          <w:p w14:paraId="24287FD1"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Hrvatske šume d.o.o.</w:t>
            </w:r>
          </w:p>
        </w:tc>
      </w:tr>
      <w:tr w:rsidR="00B90584" w:rsidRPr="00916F60" w14:paraId="2036C293" w14:textId="77777777" w:rsidTr="005019A7">
        <w:trPr>
          <w:trHeight w:val="315"/>
        </w:trPr>
        <w:tc>
          <w:tcPr>
            <w:tcW w:w="4678" w:type="dxa"/>
            <w:shd w:val="clear" w:color="000000" w:fill="FFFFFF"/>
            <w:noWrap/>
            <w:vAlign w:val="center"/>
          </w:tcPr>
          <w:p w14:paraId="121B32E8"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Hrvatske vode</w:t>
            </w:r>
          </w:p>
        </w:tc>
        <w:tc>
          <w:tcPr>
            <w:tcW w:w="4815" w:type="dxa"/>
            <w:shd w:val="clear" w:color="000000" w:fill="FFFFFF"/>
            <w:noWrap/>
            <w:vAlign w:val="center"/>
          </w:tcPr>
          <w:p w14:paraId="387CA0EF"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Hrvatske vode</w:t>
            </w:r>
          </w:p>
        </w:tc>
      </w:tr>
      <w:tr w:rsidR="00B90584" w:rsidRPr="00916F60" w14:paraId="63802B18" w14:textId="77777777" w:rsidTr="005019A7">
        <w:trPr>
          <w:trHeight w:val="315"/>
        </w:trPr>
        <w:tc>
          <w:tcPr>
            <w:tcW w:w="4678" w:type="dxa"/>
            <w:shd w:val="clear" w:color="000000" w:fill="FFFFFF"/>
            <w:noWrap/>
          </w:tcPr>
          <w:p w14:paraId="6FD33B65"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Hrvatski operator prijenosnog sustava d.o.o.</w:t>
            </w:r>
          </w:p>
        </w:tc>
        <w:tc>
          <w:tcPr>
            <w:tcW w:w="4815" w:type="dxa"/>
            <w:shd w:val="clear" w:color="000000" w:fill="FFFFFF"/>
            <w:noWrap/>
          </w:tcPr>
          <w:p w14:paraId="159A8229"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Hrvatski operator prijenosnog sustava d.o.o.</w:t>
            </w:r>
          </w:p>
        </w:tc>
      </w:tr>
      <w:tr w:rsidR="00B90584" w:rsidRPr="00916F60" w14:paraId="2EB4325F" w14:textId="77777777" w:rsidTr="005019A7">
        <w:trPr>
          <w:trHeight w:val="315"/>
        </w:trPr>
        <w:tc>
          <w:tcPr>
            <w:tcW w:w="4678" w:type="dxa"/>
            <w:shd w:val="clear" w:color="000000" w:fill="FFFFFF"/>
            <w:noWrap/>
          </w:tcPr>
          <w:p w14:paraId="47022D82"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HEP-operator distribucijskog sustava d.o.o.</w:t>
            </w:r>
          </w:p>
        </w:tc>
        <w:tc>
          <w:tcPr>
            <w:tcW w:w="4815" w:type="dxa"/>
            <w:shd w:val="clear" w:color="000000" w:fill="FFFFFF"/>
            <w:noWrap/>
          </w:tcPr>
          <w:p w14:paraId="39989C62"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HEP-operator distribucijskog sustava d.o.o.</w:t>
            </w:r>
          </w:p>
        </w:tc>
      </w:tr>
      <w:tr w:rsidR="00B90584" w:rsidRPr="00916F60" w14:paraId="5A5CB67E" w14:textId="77777777" w:rsidTr="005019A7">
        <w:trPr>
          <w:trHeight w:val="315"/>
        </w:trPr>
        <w:tc>
          <w:tcPr>
            <w:tcW w:w="4678" w:type="dxa"/>
            <w:shd w:val="clear" w:color="000000" w:fill="FFFFFF"/>
            <w:noWrap/>
          </w:tcPr>
          <w:p w14:paraId="51FD2706"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HEP plin d.o.o.</w:t>
            </w:r>
          </w:p>
        </w:tc>
        <w:tc>
          <w:tcPr>
            <w:tcW w:w="4815" w:type="dxa"/>
            <w:shd w:val="clear" w:color="000000" w:fill="FFFFFF"/>
            <w:noWrap/>
          </w:tcPr>
          <w:p w14:paraId="77CEFA14"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HEP plin d.o.o.</w:t>
            </w:r>
          </w:p>
        </w:tc>
      </w:tr>
      <w:tr w:rsidR="00B90584" w:rsidRPr="00916F60" w14:paraId="2E80B3D7" w14:textId="77777777" w:rsidTr="005019A7">
        <w:trPr>
          <w:trHeight w:val="315"/>
        </w:trPr>
        <w:tc>
          <w:tcPr>
            <w:tcW w:w="4678" w:type="dxa"/>
            <w:shd w:val="clear" w:color="000000" w:fill="FFFFFF"/>
            <w:noWrap/>
          </w:tcPr>
          <w:p w14:paraId="31D1E8E6"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HEP-</w:t>
            </w:r>
            <w:proofErr w:type="spellStart"/>
            <w:r w:rsidRPr="00916F60">
              <w:rPr>
                <w:rFonts w:ascii="Calibri" w:eastAsia="Times New Roman" w:hAnsi="Calibri" w:cs="Calibri"/>
                <w:sz w:val="24"/>
                <w:szCs w:val="24"/>
                <w:lang w:val="hr-HR" w:eastAsia="en-GB"/>
              </w:rPr>
              <w:t>toplinarstvo</w:t>
            </w:r>
            <w:proofErr w:type="spellEnd"/>
            <w:r w:rsidRPr="00916F60">
              <w:rPr>
                <w:rFonts w:ascii="Calibri" w:eastAsia="Times New Roman" w:hAnsi="Calibri" w:cs="Calibri"/>
                <w:sz w:val="24"/>
                <w:szCs w:val="24"/>
                <w:lang w:val="hr-HR" w:eastAsia="en-GB"/>
              </w:rPr>
              <w:t xml:space="preserve"> d.o.o.</w:t>
            </w:r>
          </w:p>
        </w:tc>
        <w:tc>
          <w:tcPr>
            <w:tcW w:w="4815" w:type="dxa"/>
            <w:shd w:val="clear" w:color="000000" w:fill="FFFFFF"/>
            <w:noWrap/>
          </w:tcPr>
          <w:p w14:paraId="5CE09353"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HEP-</w:t>
            </w:r>
            <w:proofErr w:type="spellStart"/>
            <w:r w:rsidRPr="00FE5DF2">
              <w:rPr>
                <w:rFonts w:ascii="Calibri" w:eastAsia="Times New Roman" w:hAnsi="Calibri" w:cs="Calibri"/>
                <w:sz w:val="24"/>
                <w:szCs w:val="24"/>
                <w:lang w:val="hr-HR" w:eastAsia="en-GB"/>
              </w:rPr>
              <w:t>toplinarstvo</w:t>
            </w:r>
            <w:proofErr w:type="spellEnd"/>
            <w:r w:rsidRPr="00FE5DF2">
              <w:rPr>
                <w:rFonts w:ascii="Calibri" w:eastAsia="Times New Roman" w:hAnsi="Calibri" w:cs="Calibri"/>
                <w:sz w:val="24"/>
                <w:szCs w:val="24"/>
                <w:lang w:val="hr-HR" w:eastAsia="en-GB"/>
              </w:rPr>
              <w:t xml:space="preserve"> d.o.o</w:t>
            </w:r>
          </w:p>
        </w:tc>
      </w:tr>
      <w:tr w:rsidR="00B90584" w:rsidRPr="00916F60" w14:paraId="0FA50845" w14:textId="77777777" w:rsidTr="005019A7">
        <w:trPr>
          <w:trHeight w:val="315"/>
        </w:trPr>
        <w:tc>
          <w:tcPr>
            <w:tcW w:w="4678" w:type="dxa"/>
            <w:shd w:val="clear" w:color="000000" w:fill="FFFFFF"/>
            <w:noWrap/>
          </w:tcPr>
          <w:p w14:paraId="1A800D09"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Hrvatska kontrola zračne plovidbe d.o.o.</w:t>
            </w:r>
          </w:p>
        </w:tc>
        <w:tc>
          <w:tcPr>
            <w:tcW w:w="4815" w:type="dxa"/>
            <w:shd w:val="clear" w:color="000000" w:fill="FFFFFF"/>
            <w:noWrap/>
          </w:tcPr>
          <w:p w14:paraId="3D80C226"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Hrvatska kontrola zračne plovidbe d.o.o.</w:t>
            </w:r>
          </w:p>
        </w:tc>
      </w:tr>
      <w:tr w:rsidR="00B90584" w:rsidRPr="00916F60" w14:paraId="673D36EB" w14:textId="77777777" w:rsidTr="005019A7">
        <w:trPr>
          <w:trHeight w:val="315"/>
        </w:trPr>
        <w:tc>
          <w:tcPr>
            <w:tcW w:w="4678" w:type="dxa"/>
            <w:shd w:val="clear" w:color="000000" w:fill="FFFFFF"/>
            <w:noWrap/>
            <w:hideMark/>
          </w:tcPr>
          <w:p w14:paraId="493AF816"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HP-hrvatska pošta d.d.</w:t>
            </w:r>
          </w:p>
        </w:tc>
        <w:tc>
          <w:tcPr>
            <w:tcW w:w="4815" w:type="dxa"/>
            <w:shd w:val="clear" w:color="000000" w:fill="FFFFFF"/>
            <w:noWrap/>
            <w:hideMark/>
          </w:tcPr>
          <w:p w14:paraId="764C4698"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HP-hrvatska pošta d.d.</w:t>
            </w:r>
          </w:p>
        </w:tc>
      </w:tr>
      <w:tr w:rsidR="00B90584" w:rsidRPr="00916F60" w14:paraId="745C54A7" w14:textId="77777777" w:rsidTr="005019A7">
        <w:trPr>
          <w:trHeight w:val="315"/>
        </w:trPr>
        <w:tc>
          <w:tcPr>
            <w:tcW w:w="4678" w:type="dxa"/>
            <w:shd w:val="clear" w:color="000000" w:fill="FFFFFF"/>
            <w:noWrap/>
          </w:tcPr>
          <w:p w14:paraId="3270BF65"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lastRenderedPageBreak/>
              <w:t>HŽ Infrastruktura d.o.o.</w:t>
            </w:r>
          </w:p>
        </w:tc>
        <w:tc>
          <w:tcPr>
            <w:tcW w:w="4815" w:type="dxa"/>
            <w:shd w:val="clear" w:color="000000" w:fill="FFFFFF"/>
            <w:noWrap/>
          </w:tcPr>
          <w:p w14:paraId="2A6B605B"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HŽ Infrastruktura d.o.o.</w:t>
            </w:r>
          </w:p>
        </w:tc>
      </w:tr>
      <w:tr w:rsidR="00B90584" w:rsidRPr="00916F60" w14:paraId="335645CA" w14:textId="77777777" w:rsidTr="005019A7">
        <w:trPr>
          <w:trHeight w:val="315"/>
        </w:trPr>
        <w:tc>
          <w:tcPr>
            <w:tcW w:w="4678" w:type="dxa"/>
            <w:shd w:val="clear" w:color="000000" w:fill="FFFFFF"/>
            <w:noWrap/>
          </w:tcPr>
          <w:p w14:paraId="15288375"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Podzemno skladište plina d.o.o.</w:t>
            </w:r>
          </w:p>
        </w:tc>
        <w:tc>
          <w:tcPr>
            <w:tcW w:w="4815" w:type="dxa"/>
            <w:shd w:val="clear" w:color="000000" w:fill="FFFFFF"/>
            <w:noWrap/>
          </w:tcPr>
          <w:p w14:paraId="4E47CB7C"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Podzemno skladište plina d.o.o.</w:t>
            </w:r>
          </w:p>
        </w:tc>
      </w:tr>
      <w:tr w:rsidR="00B90584" w:rsidRPr="00916F60" w14:paraId="3CE669B7" w14:textId="77777777" w:rsidTr="005019A7">
        <w:trPr>
          <w:trHeight w:val="315"/>
        </w:trPr>
        <w:tc>
          <w:tcPr>
            <w:tcW w:w="4678" w:type="dxa"/>
            <w:shd w:val="clear" w:color="000000" w:fill="FFFFFF"/>
            <w:noWrap/>
          </w:tcPr>
          <w:p w14:paraId="0FC025E3"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Plinacro d.o.o.</w:t>
            </w:r>
          </w:p>
        </w:tc>
        <w:tc>
          <w:tcPr>
            <w:tcW w:w="4815" w:type="dxa"/>
            <w:shd w:val="clear" w:color="000000" w:fill="FFFFFF"/>
            <w:noWrap/>
          </w:tcPr>
          <w:p w14:paraId="597A1E3A"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Plinacro d.o.o.</w:t>
            </w:r>
          </w:p>
        </w:tc>
      </w:tr>
      <w:tr w:rsidR="00B90584" w:rsidRPr="00916F60" w14:paraId="4E5064C2" w14:textId="77777777" w:rsidTr="005019A7">
        <w:trPr>
          <w:trHeight w:val="315"/>
        </w:trPr>
        <w:tc>
          <w:tcPr>
            <w:tcW w:w="4678" w:type="dxa"/>
            <w:shd w:val="clear" w:color="000000" w:fill="FFFFFF"/>
            <w:noWrap/>
          </w:tcPr>
          <w:p w14:paraId="6E7278BB"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Jadranski naftovod d.d.</w:t>
            </w:r>
          </w:p>
        </w:tc>
        <w:tc>
          <w:tcPr>
            <w:tcW w:w="4815" w:type="dxa"/>
            <w:shd w:val="clear" w:color="000000" w:fill="FFFFFF"/>
            <w:noWrap/>
          </w:tcPr>
          <w:p w14:paraId="388E8350"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Jadranski naftovod d.d.</w:t>
            </w:r>
          </w:p>
        </w:tc>
      </w:tr>
      <w:tr w:rsidR="00B90584" w:rsidRPr="00916F60" w14:paraId="0AA2A074" w14:textId="77777777" w:rsidTr="005019A7">
        <w:trPr>
          <w:trHeight w:val="315"/>
        </w:trPr>
        <w:tc>
          <w:tcPr>
            <w:tcW w:w="4678" w:type="dxa"/>
            <w:shd w:val="clear" w:color="000000" w:fill="FFFFFF"/>
            <w:noWrap/>
          </w:tcPr>
          <w:p w14:paraId="7D36585D"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Grad Knin</w:t>
            </w:r>
          </w:p>
        </w:tc>
        <w:tc>
          <w:tcPr>
            <w:tcW w:w="4815" w:type="dxa"/>
            <w:shd w:val="clear" w:color="000000" w:fill="FFFFFF"/>
            <w:noWrap/>
          </w:tcPr>
          <w:p w14:paraId="28E8EB96"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Grad Knin</w:t>
            </w:r>
          </w:p>
        </w:tc>
      </w:tr>
      <w:tr w:rsidR="00B90584" w:rsidRPr="00916F60" w14:paraId="3365312A" w14:textId="77777777" w:rsidTr="005019A7">
        <w:trPr>
          <w:trHeight w:val="315"/>
        </w:trPr>
        <w:tc>
          <w:tcPr>
            <w:tcW w:w="4678" w:type="dxa"/>
            <w:shd w:val="clear" w:color="000000" w:fill="FFFFFF"/>
            <w:noWrap/>
          </w:tcPr>
          <w:p w14:paraId="1BF23625"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Grad Koprivnica</w:t>
            </w:r>
          </w:p>
        </w:tc>
        <w:tc>
          <w:tcPr>
            <w:tcW w:w="4815" w:type="dxa"/>
            <w:shd w:val="clear" w:color="000000" w:fill="FFFFFF"/>
            <w:noWrap/>
          </w:tcPr>
          <w:p w14:paraId="3613DF2A"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Grad Koprivnica</w:t>
            </w:r>
          </w:p>
        </w:tc>
      </w:tr>
      <w:tr w:rsidR="00B90584" w:rsidRPr="00916F60" w14:paraId="262774A0" w14:textId="77777777" w:rsidTr="005019A7">
        <w:trPr>
          <w:trHeight w:val="315"/>
        </w:trPr>
        <w:tc>
          <w:tcPr>
            <w:tcW w:w="4678" w:type="dxa"/>
            <w:shd w:val="clear" w:color="000000" w:fill="FFFFFF"/>
            <w:noWrap/>
          </w:tcPr>
          <w:p w14:paraId="4C1BE91B"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Grad Novska</w:t>
            </w:r>
          </w:p>
        </w:tc>
        <w:tc>
          <w:tcPr>
            <w:tcW w:w="4815" w:type="dxa"/>
            <w:shd w:val="clear" w:color="000000" w:fill="FFFFFF"/>
            <w:noWrap/>
          </w:tcPr>
          <w:p w14:paraId="65CA8A45"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Grad Novska</w:t>
            </w:r>
          </w:p>
        </w:tc>
      </w:tr>
      <w:tr w:rsidR="00B90584" w:rsidRPr="00916F60" w14:paraId="4F141560" w14:textId="77777777" w:rsidTr="005019A7">
        <w:trPr>
          <w:trHeight w:val="315"/>
        </w:trPr>
        <w:tc>
          <w:tcPr>
            <w:tcW w:w="4678" w:type="dxa"/>
            <w:shd w:val="clear" w:color="000000" w:fill="FFFFFF"/>
            <w:noWrap/>
          </w:tcPr>
          <w:p w14:paraId="52B1E5C1"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Vodovod Novska</w:t>
            </w:r>
          </w:p>
        </w:tc>
        <w:tc>
          <w:tcPr>
            <w:tcW w:w="4815" w:type="dxa"/>
            <w:shd w:val="clear" w:color="000000" w:fill="FFFFFF"/>
            <w:noWrap/>
          </w:tcPr>
          <w:p w14:paraId="0DC80FD5"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Vodovod Novska</w:t>
            </w:r>
          </w:p>
        </w:tc>
      </w:tr>
      <w:tr w:rsidR="00B90584" w:rsidRPr="00916F60" w14:paraId="26086669" w14:textId="77777777" w:rsidTr="005019A7">
        <w:trPr>
          <w:trHeight w:val="315"/>
        </w:trPr>
        <w:tc>
          <w:tcPr>
            <w:tcW w:w="4678" w:type="dxa"/>
            <w:shd w:val="clear" w:color="000000" w:fill="FFFFFF"/>
            <w:noWrap/>
          </w:tcPr>
          <w:p w14:paraId="5084EA27"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Grad Rijeka</w:t>
            </w:r>
          </w:p>
        </w:tc>
        <w:tc>
          <w:tcPr>
            <w:tcW w:w="4815" w:type="dxa"/>
            <w:shd w:val="clear" w:color="000000" w:fill="FFFFFF"/>
            <w:noWrap/>
          </w:tcPr>
          <w:p w14:paraId="1617B1B0"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Grad Rijeka</w:t>
            </w:r>
          </w:p>
        </w:tc>
      </w:tr>
      <w:tr w:rsidR="00B90584" w:rsidRPr="00916F60" w14:paraId="16E0FDE5" w14:textId="77777777" w:rsidTr="005019A7">
        <w:trPr>
          <w:trHeight w:val="315"/>
        </w:trPr>
        <w:tc>
          <w:tcPr>
            <w:tcW w:w="4678" w:type="dxa"/>
            <w:shd w:val="clear" w:color="000000" w:fill="FFFFFF"/>
            <w:noWrap/>
          </w:tcPr>
          <w:p w14:paraId="2B4D89D6"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Grad Split</w:t>
            </w:r>
          </w:p>
        </w:tc>
        <w:tc>
          <w:tcPr>
            <w:tcW w:w="4815" w:type="dxa"/>
            <w:shd w:val="clear" w:color="000000" w:fill="FFFFFF"/>
            <w:noWrap/>
          </w:tcPr>
          <w:p w14:paraId="58AD995A"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Grad Split</w:t>
            </w:r>
          </w:p>
        </w:tc>
      </w:tr>
      <w:tr w:rsidR="00B90584" w:rsidRPr="00916F60" w14:paraId="36889EF4" w14:textId="77777777" w:rsidTr="005019A7">
        <w:trPr>
          <w:trHeight w:val="315"/>
        </w:trPr>
        <w:tc>
          <w:tcPr>
            <w:tcW w:w="4678" w:type="dxa"/>
            <w:shd w:val="clear" w:color="000000" w:fill="FFFFFF"/>
            <w:noWrap/>
          </w:tcPr>
          <w:p w14:paraId="5078F8C1" w14:textId="77777777" w:rsidR="00B90584" w:rsidRPr="00916F60" w:rsidRDefault="00B90584" w:rsidP="00B90584">
            <w:pPr>
              <w:spacing w:after="0" w:line="240" w:lineRule="auto"/>
              <w:rPr>
                <w:rFonts w:ascii="Calibri" w:eastAsia="Times New Roman" w:hAnsi="Calibri" w:cs="Calibri"/>
                <w:sz w:val="24"/>
                <w:szCs w:val="24"/>
                <w:lang w:val="hr-HR" w:eastAsia="en-GB"/>
              </w:rPr>
            </w:pPr>
            <w:r w:rsidRPr="00916F60">
              <w:rPr>
                <w:rFonts w:ascii="Calibri" w:eastAsia="Times New Roman" w:hAnsi="Calibri" w:cs="Calibri"/>
                <w:sz w:val="24"/>
                <w:szCs w:val="24"/>
                <w:lang w:val="hr-HR" w:eastAsia="en-GB"/>
              </w:rPr>
              <w:t>Grad Umag</w:t>
            </w:r>
          </w:p>
        </w:tc>
        <w:tc>
          <w:tcPr>
            <w:tcW w:w="4815" w:type="dxa"/>
            <w:shd w:val="clear" w:color="auto" w:fill="auto"/>
            <w:noWrap/>
            <w:vAlign w:val="bottom"/>
          </w:tcPr>
          <w:p w14:paraId="4BEBF7A7"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Grad Umag</w:t>
            </w:r>
          </w:p>
        </w:tc>
      </w:tr>
      <w:tr w:rsidR="00B90584" w:rsidRPr="00916F60" w14:paraId="7C323E77" w14:textId="77777777" w:rsidTr="005019A7">
        <w:trPr>
          <w:trHeight w:val="315"/>
        </w:trPr>
        <w:tc>
          <w:tcPr>
            <w:tcW w:w="4678" w:type="dxa"/>
            <w:shd w:val="clear" w:color="000000" w:fill="FFFFFF"/>
            <w:noWrap/>
          </w:tcPr>
          <w:p w14:paraId="3246D5F3" w14:textId="77777777" w:rsidR="00B90584" w:rsidRPr="00916F60" w:rsidRDefault="00B90584" w:rsidP="00B90584">
            <w:pPr>
              <w:spacing w:after="0" w:line="240" w:lineRule="auto"/>
              <w:rPr>
                <w:rFonts w:ascii="Calibri" w:eastAsia="Times New Roman" w:hAnsi="Calibri" w:cs="Calibri"/>
                <w:color w:val="000000"/>
                <w:sz w:val="24"/>
                <w:szCs w:val="24"/>
                <w:lang w:val="hr-HR" w:eastAsia="en-GB"/>
              </w:rPr>
            </w:pPr>
            <w:r w:rsidRPr="00916F60">
              <w:rPr>
                <w:rFonts w:ascii="Calibri" w:eastAsia="Times New Roman" w:hAnsi="Calibri" w:cs="Calibri"/>
                <w:sz w:val="24"/>
                <w:szCs w:val="24"/>
                <w:lang w:val="hr-HR" w:eastAsia="en-GB"/>
              </w:rPr>
              <w:t>Grad Zagreb</w:t>
            </w:r>
          </w:p>
        </w:tc>
        <w:tc>
          <w:tcPr>
            <w:tcW w:w="4815" w:type="dxa"/>
            <w:shd w:val="clear" w:color="000000" w:fill="FFFFFF"/>
            <w:noWrap/>
          </w:tcPr>
          <w:p w14:paraId="628AA6EA" w14:textId="77777777" w:rsidR="00B90584" w:rsidRPr="00FE5DF2" w:rsidRDefault="00B90584" w:rsidP="00B90584">
            <w:pPr>
              <w:spacing w:after="0" w:line="240" w:lineRule="auto"/>
              <w:rPr>
                <w:rFonts w:ascii="Calibri" w:eastAsia="Times New Roman" w:hAnsi="Calibri" w:cs="Calibri"/>
                <w:sz w:val="24"/>
                <w:szCs w:val="24"/>
                <w:lang w:val="hr-HR" w:eastAsia="en-GB"/>
              </w:rPr>
            </w:pPr>
            <w:r w:rsidRPr="00FE5DF2">
              <w:rPr>
                <w:rFonts w:ascii="Calibri" w:eastAsia="Times New Roman" w:hAnsi="Calibri" w:cs="Calibri"/>
                <w:sz w:val="24"/>
                <w:szCs w:val="24"/>
                <w:lang w:val="hr-HR" w:eastAsia="en-GB"/>
              </w:rPr>
              <w:t>Grad Zagreb</w:t>
            </w:r>
          </w:p>
        </w:tc>
      </w:tr>
    </w:tbl>
    <w:p w14:paraId="2E9344CE" w14:textId="77777777" w:rsidR="002A52FA" w:rsidRPr="00D20C38" w:rsidRDefault="002A52FA" w:rsidP="00F1325D">
      <w:pPr>
        <w:jc w:val="both"/>
        <w:rPr>
          <w:lang w:val="hr-HR"/>
        </w:rPr>
      </w:pPr>
    </w:p>
    <w:sectPr w:rsidR="002A52FA" w:rsidRPr="00D20C38" w:rsidSect="00A37766">
      <w:footerReference w:type="defaul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1BAB3" w14:textId="77777777" w:rsidR="00C31620" w:rsidRDefault="00C31620" w:rsidP="00EB0CC0">
      <w:pPr>
        <w:spacing w:after="0" w:line="240" w:lineRule="auto"/>
      </w:pPr>
      <w:r>
        <w:separator/>
      </w:r>
    </w:p>
  </w:endnote>
  <w:endnote w:type="continuationSeparator" w:id="0">
    <w:p w14:paraId="7A9CA0A5" w14:textId="77777777" w:rsidR="00C31620" w:rsidRDefault="00C31620" w:rsidP="00EB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dugi">
    <w:panose1 w:val="020B0502040204020203"/>
    <w:charset w:val="00"/>
    <w:family w:val="swiss"/>
    <w:pitch w:val="variable"/>
    <w:sig w:usb0="80000003" w:usb1="00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720505"/>
      <w:docPartObj>
        <w:docPartGallery w:val="Page Numbers (Bottom of Page)"/>
        <w:docPartUnique/>
      </w:docPartObj>
    </w:sdtPr>
    <w:sdtEndPr>
      <w:rPr>
        <w:noProof/>
      </w:rPr>
    </w:sdtEndPr>
    <w:sdtContent>
      <w:p w14:paraId="3EDFB693" w14:textId="2169A83E" w:rsidR="00AB6B80" w:rsidRDefault="00AB6B80">
        <w:pPr>
          <w:pStyle w:val="Footer"/>
          <w:jc w:val="right"/>
        </w:pPr>
        <w:r>
          <w:fldChar w:fldCharType="begin"/>
        </w:r>
        <w:r>
          <w:instrText xml:space="preserve"> PAGE   \* MERGEFORMAT </w:instrText>
        </w:r>
        <w:r>
          <w:fldChar w:fldCharType="separate"/>
        </w:r>
        <w:r w:rsidR="00DA7E91">
          <w:rPr>
            <w:noProof/>
          </w:rPr>
          <w:t>21</w:t>
        </w:r>
        <w:r>
          <w:rPr>
            <w:noProof/>
          </w:rPr>
          <w:fldChar w:fldCharType="end"/>
        </w:r>
      </w:p>
    </w:sdtContent>
  </w:sdt>
  <w:p w14:paraId="276C06D0" w14:textId="77777777" w:rsidR="00AB6B80" w:rsidRDefault="00AB6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A8183" w14:textId="77777777" w:rsidR="00AB6B80" w:rsidRPr="00DF7D9C" w:rsidRDefault="00AB6B80" w:rsidP="00EB0CC0">
    <w:pPr>
      <w:pStyle w:val="Footer"/>
      <w:jc w:val="center"/>
    </w:pPr>
    <w:r w:rsidRPr="00DF7D9C">
      <w:t xml:space="preserve">Zagreb, </w:t>
    </w:r>
    <w:proofErr w:type="spellStart"/>
    <w:r>
      <w:t>prosinac</w:t>
    </w:r>
    <w:proofErr w:type="spellEnd"/>
    <w:r w:rsidRPr="00DF7D9C">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5D1A" w14:textId="77777777" w:rsidR="00C31620" w:rsidRDefault="00C31620" w:rsidP="00EB0CC0">
      <w:pPr>
        <w:spacing w:after="0" w:line="240" w:lineRule="auto"/>
      </w:pPr>
      <w:r>
        <w:separator/>
      </w:r>
    </w:p>
  </w:footnote>
  <w:footnote w:type="continuationSeparator" w:id="0">
    <w:p w14:paraId="63971EB2" w14:textId="77777777" w:rsidR="00C31620" w:rsidRDefault="00C31620" w:rsidP="00EB0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120EF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557E0F"/>
    <w:multiLevelType w:val="hybridMultilevel"/>
    <w:tmpl w:val="120EF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7E71D5"/>
    <w:multiLevelType w:val="hybridMultilevel"/>
    <w:tmpl w:val="9AA0617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85795E"/>
    <w:multiLevelType w:val="hybridMultilevel"/>
    <w:tmpl w:val="85DCD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D56198"/>
    <w:multiLevelType w:val="hybridMultilevel"/>
    <w:tmpl w:val="120EF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328D2"/>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B103AF"/>
    <w:multiLevelType w:val="hybridMultilevel"/>
    <w:tmpl w:val="CCA8C2C8"/>
    <w:lvl w:ilvl="0" w:tplc="041A000F">
      <w:start w:val="1"/>
      <w:numFmt w:val="decimal"/>
      <w:lvlText w:val="%1."/>
      <w:lvlJc w:val="left"/>
      <w:pPr>
        <w:ind w:left="150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15:restartNumberingAfterBreak="0">
    <w:nsid w:val="47195419"/>
    <w:multiLevelType w:val="hybridMultilevel"/>
    <w:tmpl w:val="120EF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6C46C50"/>
    <w:multiLevelType w:val="hybridMultilevel"/>
    <w:tmpl w:val="F7BC72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0EB4F8C"/>
    <w:multiLevelType w:val="hybridMultilevel"/>
    <w:tmpl w:val="120EF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3973D10"/>
    <w:multiLevelType w:val="hybridMultilevel"/>
    <w:tmpl w:val="7A3A7C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5260B33"/>
    <w:multiLevelType w:val="hybridMultilevel"/>
    <w:tmpl w:val="C3A8A356"/>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7D0440E"/>
    <w:multiLevelType w:val="hybridMultilevel"/>
    <w:tmpl w:val="274E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296"/>
    <w:multiLevelType w:val="hybridMultilevel"/>
    <w:tmpl w:val="035E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249C6"/>
    <w:multiLevelType w:val="hybridMultilevel"/>
    <w:tmpl w:val="56DA5FD0"/>
    <w:lvl w:ilvl="0" w:tplc="6E842B2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15:restartNumberingAfterBreak="0">
    <w:nsid w:val="78F10699"/>
    <w:multiLevelType w:val="hybridMultilevel"/>
    <w:tmpl w:val="A35C76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EF562FB"/>
    <w:multiLevelType w:val="hybridMultilevel"/>
    <w:tmpl w:val="120EF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9"/>
  </w:num>
  <w:num w:numId="5">
    <w:abstractNumId w:val="7"/>
  </w:num>
  <w:num w:numId="6">
    <w:abstractNumId w:val="4"/>
  </w:num>
  <w:num w:numId="7">
    <w:abstractNumId w:val="16"/>
  </w:num>
  <w:num w:numId="8">
    <w:abstractNumId w:val="11"/>
  </w:num>
  <w:num w:numId="9">
    <w:abstractNumId w:val="10"/>
  </w:num>
  <w:num w:numId="10">
    <w:abstractNumId w:val="2"/>
  </w:num>
  <w:num w:numId="11">
    <w:abstractNumId w:val="15"/>
  </w:num>
  <w:num w:numId="12">
    <w:abstractNumId w:val="14"/>
  </w:num>
  <w:num w:numId="13">
    <w:abstractNumId w:val="13"/>
  </w:num>
  <w:num w:numId="14">
    <w:abstractNumId w:val="6"/>
  </w:num>
  <w:num w:numId="15">
    <w:abstractNumId w:val="12"/>
  </w:num>
  <w:num w:numId="16">
    <w:abstractNumId w:val="0"/>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38"/>
    <w:rsid w:val="00001FF2"/>
    <w:rsid w:val="00007E30"/>
    <w:rsid w:val="000115C6"/>
    <w:rsid w:val="0001516E"/>
    <w:rsid w:val="000206FE"/>
    <w:rsid w:val="00020E05"/>
    <w:rsid w:val="00022C47"/>
    <w:rsid w:val="00024A20"/>
    <w:rsid w:val="00024D34"/>
    <w:rsid w:val="00024DE4"/>
    <w:rsid w:val="00026EDD"/>
    <w:rsid w:val="00026FDD"/>
    <w:rsid w:val="000279C0"/>
    <w:rsid w:val="000310E6"/>
    <w:rsid w:val="00033FC6"/>
    <w:rsid w:val="00040AD4"/>
    <w:rsid w:val="000421EB"/>
    <w:rsid w:val="00043F88"/>
    <w:rsid w:val="00044936"/>
    <w:rsid w:val="00045722"/>
    <w:rsid w:val="00046060"/>
    <w:rsid w:val="000465C0"/>
    <w:rsid w:val="000474D5"/>
    <w:rsid w:val="0005409C"/>
    <w:rsid w:val="000614FD"/>
    <w:rsid w:val="0006422C"/>
    <w:rsid w:val="0006586D"/>
    <w:rsid w:val="00065DBF"/>
    <w:rsid w:val="00066928"/>
    <w:rsid w:val="00072B29"/>
    <w:rsid w:val="000779B2"/>
    <w:rsid w:val="00081215"/>
    <w:rsid w:val="00081C8F"/>
    <w:rsid w:val="00082604"/>
    <w:rsid w:val="000920CC"/>
    <w:rsid w:val="00093DED"/>
    <w:rsid w:val="0009418B"/>
    <w:rsid w:val="00096BD5"/>
    <w:rsid w:val="00097F78"/>
    <w:rsid w:val="000A0DED"/>
    <w:rsid w:val="000A1439"/>
    <w:rsid w:val="000A7B1E"/>
    <w:rsid w:val="000B36D4"/>
    <w:rsid w:val="000B42C4"/>
    <w:rsid w:val="000B4753"/>
    <w:rsid w:val="000B5BB3"/>
    <w:rsid w:val="000B6478"/>
    <w:rsid w:val="000B79ED"/>
    <w:rsid w:val="000C3EF1"/>
    <w:rsid w:val="000C50CF"/>
    <w:rsid w:val="000D0166"/>
    <w:rsid w:val="000D0595"/>
    <w:rsid w:val="000D08E8"/>
    <w:rsid w:val="000D4E89"/>
    <w:rsid w:val="000D60C3"/>
    <w:rsid w:val="000D6F8D"/>
    <w:rsid w:val="000E2550"/>
    <w:rsid w:val="000E40D8"/>
    <w:rsid w:val="000E46FB"/>
    <w:rsid w:val="000E475E"/>
    <w:rsid w:val="000E6B9C"/>
    <w:rsid w:val="000F1B87"/>
    <w:rsid w:val="000F21E4"/>
    <w:rsid w:val="000F4A0A"/>
    <w:rsid w:val="00103965"/>
    <w:rsid w:val="00106CCF"/>
    <w:rsid w:val="00107312"/>
    <w:rsid w:val="00110FF9"/>
    <w:rsid w:val="00111273"/>
    <w:rsid w:val="00111370"/>
    <w:rsid w:val="00111F55"/>
    <w:rsid w:val="00112993"/>
    <w:rsid w:val="0011504D"/>
    <w:rsid w:val="00121A79"/>
    <w:rsid w:val="00122195"/>
    <w:rsid w:val="00122D08"/>
    <w:rsid w:val="00122DF9"/>
    <w:rsid w:val="00127FC3"/>
    <w:rsid w:val="00130685"/>
    <w:rsid w:val="00133AD7"/>
    <w:rsid w:val="00133D74"/>
    <w:rsid w:val="001340FB"/>
    <w:rsid w:val="0013471B"/>
    <w:rsid w:val="00136AF6"/>
    <w:rsid w:val="00144C79"/>
    <w:rsid w:val="0014513F"/>
    <w:rsid w:val="00145921"/>
    <w:rsid w:val="001464A1"/>
    <w:rsid w:val="00150EC6"/>
    <w:rsid w:val="001530FB"/>
    <w:rsid w:val="00162129"/>
    <w:rsid w:val="0016297A"/>
    <w:rsid w:val="00162C80"/>
    <w:rsid w:val="001641B0"/>
    <w:rsid w:val="00166A29"/>
    <w:rsid w:val="00166A49"/>
    <w:rsid w:val="00171521"/>
    <w:rsid w:val="001715FD"/>
    <w:rsid w:val="00171757"/>
    <w:rsid w:val="001737EB"/>
    <w:rsid w:val="0017506F"/>
    <w:rsid w:val="00182889"/>
    <w:rsid w:val="00182CA0"/>
    <w:rsid w:val="00182FEF"/>
    <w:rsid w:val="0019198A"/>
    <w:rsid w:val="00194EE5"/>
    <w:rsid w:val="00197A5E"/>
    <w:rsid w:val="001A09E2"/>
    <w:rsid w:val="001A1E66"/>
    <w:rsid w:val="001A2846"/>
    <w:rsid w:val="001A2BA2"/>
    <w:rsid w:val="001A5DC6"/>
    <w:rsid w:val="001B0077"/>
    <w:rsid w:val="001B2852"/>
    <w:rsid w:val="001B2F2E"/>
    <w:rsid w:val="001B373E"/>
    <w:rsid w:val="001B3BAA"/>
    <w:rsid w:val="001B43B3"/>
    <w:rsid w:val="001B53A6"/>
    <w:rsid w:val="001B77D2"/>
    <w:rsid w:val="001C1ADE"/>
    <w:rsid w:val="001C1D41"/>
    <w:rsid w:val="001C2F75"/>
    <w:rsid w:val="001C3613"/>
    <w:rsid w:val="001C5E62"/>
    <w:rsid w:val="001D518F"/>
    <w:rsid w:val="001D7024"/>
    <w:rsid w:val="001E04C0"/>
    <w:rsid w:val="001E1220"/>
    <w:rsid w:val="001E281D"/>
    <w:rsid w:val="001E30E4"/>
    <w:rsid w:val="001E40F6"/>
    <w:rsid w:val="001E5505"/>
    <w:rsid w:val="001F04E9"/>
    <w:rsid w:val="001F16CC"/>
    <w:rsid w:val="001F348C"/>
    <w:rsid w:val="001F451C"/>
    <w:rsid w:val="001F569C"/>
    <w:rsid w:val="00202492"/>
    <w:rsid w:val="00202BC8"/>
    <w:rsid w:val="00205978"/>
    <w:rsid w:val="00205F5F"/>
    <w:rsid w:val="002237AE"/>
    <w:rsid w:val="00224F10"/>
    <w:rsid w:val="0022583C"/>
    <w:rsid w:val="00225869"/>
    <w:rsid w:val="00230911"/>
    <w:rsid w:val="00233277"/>
    <w:rsid w:val="0023627D"/>
    <w:rsid w:val="00236385"/>
    <w:rsid w:val="0024523D"/>
    <w:rsid w:val="0024704F"/>
    <w:rsid w:val="00251517"/>
    <w:rsid w:val="00252E89"/>
    <w:rsid w:val="0025444F"/>
    <w:rsid w:val="00260B90"/>
    <w:rsid w:val="00264602"/>
    <w:rsid w:val="00264F30"/>
    <w:rsid w:val="00265243"/>
    <w:rsid w:val="00265EE6"/>
    <w:rsid w:val="002672C6"/>
    <w:rsid w:val="002709B0"/>
    <w:rsid w:val="00272205"/>
    <w:rsid w:val="002739C9"/>
    <w:rsid w:val="00273EE9"/>
    <w:rsid w:val="00273FAF"/>
    <w:rsid w:val="00275856"/>
    <w:rsid w:val="0027648E"/>
    <w:rsid w:val="00281CE2"/>
    <w:rsid w:val="00282749"/>
    <w:rsid w:val="00283903"/>
    <w:rsid w:val="0028399D"/>
    <w:rsid w:val="00291A7C"/>
    <w:rsid w:val="00292D50"/>
    <w:rsid w:val="00293653"/>
    <w:rsid w:val="002948F1"/>
    <w:rsid w:val="00295D7E"/>
    <w:rsid w:val="002964D4"/>
    <w:rsid w:val="002A1527"/>
    <w:rsid w:val="002A15FE"/>
    <w:rsid w:val="002A52FA"/>
    <w:rsid w:val="002A78FA"/>
    <w:rsid w:val="002A7C86"/>
    <w:rsid w:val="002B0593"/>
    <w:rsid w:val="002B0896"/>
    <w:rsid w:val="002B484F"/>
    <w:rsid w:val="002B65EA"/>
    <w:rsid w:val="002B748E"/>
    <w:rsid w:val="002B7C53"/>
    <w:rsid w:val="002C094A"/>
    <w:rsid w:val="002C3022"/>
    <w:rsid w:val="002C3A20"/>
    <w:rsid w:val="002C40D7"/>
    <w:rsid w:val="002C66BD"/>
    <w:rsid w:val="002C7AB6"/>
    <w:rsid w:val="002D0039"/>
    <w:rsid w:val="002D084F"/>
    <w:rsid w:val="002D1C0E"/>
    <w:rsid w:val="002D2338"/>
    <w:rsid w:val="002D5A85"/>
    <w:rsid w:val="002E0972"/>
    <w:rsid w:val="002E1F27"/>
    <w:rsid w:val="002F11F3"/>
    <w:rsid w:val="003006C2"/>
    <w:rsid w:val="00300BD6"/>
    <w:rsid w:val="00300F84"/>
    <w:rsid w:val="003015C3"/>
    <w:rsid w:val="00303977"/>
    <w:rsid w:val="00304453"/>
    <w:rsid w:val="003059A0"/>
    <w:rsid w:val="00305F6C"/>
    <w:rsid w:val="00310384"/>
    <w:rsid w:val="00310FC2"/>
    <w:rsid w:val="00311B0D"/>
    <w:rsid w:val="00312227"/>
    <w:rsid w:val="003147B5"/>
    <w:rsid w:val="00314E0B"/>
    <w:rsid w:val="00316A76"/>
    <w:rsid w:val="00316C1D"/>
    <w:rsid w:val="00317ED1"/>
    <w:rsid w:val="00323B7D"/>
    <w:rsid w:val="00325879"/>
    <w:rsid w:val="00326D7C"/>
    <w:rsid w:val="00330571"/>
    <w:rsid w:val="003314FA"/>
    <w:rsid w:val="00332400"/>
    <w:rsid w:val="00332B14"/>
    <w:rsid w:val="00332ECF"/>
    <w:rsid w:val="003337EF"/>
    <w:rsid w:val="00336D4F"/>
    <w:rsid w:val="00341916"/>
    <w:rsid w:val="00341F86"/>
    <w:rsid w:val="003438D5"/>
    <w:rsid w:val="00343C51"/>
    <w:rsid w:val="00344CA6"/>
    <w:rsid w:val="00344E9B"/>
    <w:rsid w:val="00346905"/>
    <w:rsid w:val="003525AD"/>
    <w:rsid w:val="003543DB"/>
    <w:rsid w:val="0035687C"/>
    <w:rsid w:val="0036012F"/>
    <w:rsid w:val="00360AF3"/>
    <w:rsid w:val="00361092"/>
    <w:rsid w:val="00365D17"/>
    <w:rsid w:val="00366B8D"/>
    <w:rsid w:val="0036769A"/>
    <w:rsid w:val="00372BE0"/>
    <w:rsid w:val="00374D85"/>
    <w:rsid w:val="0037647C"/>
    <w:rsid w:val="00377C6D"/>
    <w:rsid w:val="00381815"/>
    <w:rsid w:val="003841EC"/>
    <w:rsid w:val="00384841"/>
    <w:rsid w:val="003854CB"/>
    <w:rsid w:val="003869E1"/>
    <w:rsid w:val="00386BAE"/>
    <w:rsid w:val="003920E4"/>
    <w:rsid w:val="00392C9C"/>
    <w:rsid w:val="00393003"/>
    <w:rsid w:val="003952F6"/>
    <w:rsid w:val="00397733"/>
    <w:rsid w:val="003A162C"/>
    <w:rsid w:val="003A1992"/>
    <w:rsid w:val="003A2D36"/>
    <w:rsid w:val="003A32B8"/>
    <w:rsid w:val="003A36AB"/>
    <w:rsid w:val="003A5FF3"/>
    <w:rsid w:val="003A7020"/>
    <w:rsid w:val="003A71F4"/>
    <w:rsid w:val="003A79B7"/>
    <w:rsid w:val="003B0A03"/>
    <w:rsid w:val="003B1A99"/>
    <w:rsid w:val="003B243D"/>
    <w:rsid w:val="003C014E"/>
    <w:rsid w:val="003C1659"/>
    <w:rsid w:val="003C2214"/>
    <w:rsid w:val="003C3428"/>
    <w:rsid w:val="003C58E1"/>
    <w:rsid w:val="003C5A34"/>
    <w:rsid w:val="003D25B3"/>
    <w:rsid w:val="003D38DD"/>
    <w:rsid w:val="003D3CEE"/>
    <w:rsid w:val="003E1856"/>
    <w:rsid w:val="003E3433"/>
    <w:rsid w:val="003E399F"/>
    <w:rsid w:val="003E3F0F"/>
    <w:rsid w:val="003E5D8C"/>
    <w:rsid w:val="003F088E"/>
    <w:rsid w:val="003F1F81"/>
    <w:rsid w:val="003F7F4B"/>
    <w:rsid w:val="00404FCD"/>
    <w:rsid w:val="00406BAB"/>
    <w:rsid w:val="0041086D"/>
    <w:rsid w:val="004111F1"/>
    <w:rsid w:val="00412200"/>
    <w:rsid w:val="00414DB6"/>
    <w:rsid w:val="00421D40"/>
    <w:rsid w:val="00422AF0"/>
    <w:rsid w:val="004240FC"/>
    <w:rsid w:val="00425229"/>
    <w:rsid w:val="004258A9"/>
    <w:rsid w:val="004277CB"/>
    <w:rsid w:val="00430C83"/>
    <w:rsid w:val="00433F1E"/>
    <w:rsid w:val="00437FE4"/>
    <w:rsid w:val="004412CA"/>
    <w:rsid w:val="00441807"/>
    <w:rsid w:val="004439CB"/>
    <w:rsid w:val="00444297"/>
    <w:rsid w:val="004467D1"/>
    <w:rsid w:val="00446B43"/>
    <w:rsid w:val="00454565"/>
    <w:rsid w:val="004550E7"/>
    <w:rsid w:val="00460EDE"/>
    <w:rsid w:val="00462A43"/>
    <w:rsid w:val="00464431"/>
    <w:rsid w:val="00465EAB"/>
    <w:rsid w:val="00466C10"/>
    <w:rsid w:val="004678BF"/>
    <w:rsid w:val="0047181A"/>
    <w:rsid w:val="00480C55"/>
    <w:rsid w:val="00485346"/>
    <w:rsid w:val="00485C72"/>
    <w:rsid w:val="00486D08"/>
    <w:rsid w:val="00487A74"/>
    <w:rsid w:val="00490C58"/>
    <w:rsid w:val="0049176C"/>
    <w:rsid w:val="00494E17"/>
    <w:rsid w:val="00496D5C"/>
    <w:rsid w:val="004A176F"/>
    <w:rsid w:val="004A2BBF"/>
    <w:rsid w:val="004B0D11"/>
    <w:rsid w:val="004B15B7"/>
    <w:rsid w:val="004B4695"/>
    <w:rsid w:val="004B5927"/>
    <w:rsid w:val="004C2962"/>
    <w:rsid w:val="004C30E1"/>
    <w:rsid w:val="004C3816"/>
    <w:rsid w:val="004C3AEC"/>
    <w:rsid w:val="004C7F5D"/>
    <w:rsid w:val="004D1AB0"/>
    <w:rsid w:val="004D410C"/>
    <w:rsid w:val="004D4243"/>
    <w:rsid w:val="004D4D5B"/>
    <w:rsid w:val="004D5559"/>
    <w:rsid w:val="004E4500"/>
    <w:rsid w:val="004E6DB7"/>
    <w:rsid w:val="004F45E6"/>
    <w:rsid w:val="004F5B32"/>
    <w:rsid w:val="004F6AAF"/>
    <w:rsid w:val="004F6BE6"/>
    <w:rsid w:val="004F778B"/>
    <w:rsid w:val="0050195A"/>
    <w:rsid w:val="005019A7"/>
    <w:rsid w:val="0050343F"/>
    <w:rsid w:val="0050574C"/>
    <w:rsid w:val="00505959"/>
    <w:rsid w:val="00510582"/>
    <w:rsid w:val="005119D6"/>
    <w:rsid w:val="00513033"/>
    <w:rsid w:val="005135FC"/>
    <w:rsid w:val="00516B01"/>
    <w:rsid w:val="00520234"/>
    <w:rsid w:val="00520669"/>
    <w:rsid w:val="00521A04"/>
    <w:rsid w:val="00523712"/>
    <w:rsid w:val="00523A12"/>
    <w:rsid w:val="0052440E"/>
    <w:rsid w:val="005252B4"/>
    <w:rsid w:val="00525D6A"/>
    <w:rsid w:val="00526911"/>
    <w:rsid w:val="00526A97"/>
    <w:rsid w:val="00532A1F"/>
    <w:rsid w:val="00532ACC"/>
    <w:rsid w:val="00532C47"/>
    <w:rsid w:val="0053665E"/>
    <w:rsid w:val="00537008"/>
    <w:rsid w:val="005406C3"/>
    <w:rsid w:val="0054202D"/>
    <w:rsid w:val="005445AE"/>
    <w:rsid w:val="005451A3"/>
    <w:rsid w:val="00545468"/>
    <w:rsid w:val="0054574C"/>
    <w:rsid w:val="00546F76"/>
    <w:rsid w:val="00551278"/>
    <w:rsid w:val="005528D8"/>
    <w:rsid w:val="00553B00"/>
    <w:rsid w:val="005717AE"/>
    <w:rsid w:val="00576445"/>
    <w:rsid w:val="00577183"/>
    <w:rsid w:val="00580FBE"/>
    <w:rsid w:val="00587199"/>
    <w:rsid w:val="00590481"/>
    <w:rsid w:val="005928B6"/>
    <w:rsid w:val="00592E21"/>
    <w:rsid w:val="00594709"/>
    <w:rsid w:val="00597F83"/>
    <w:rsid w:val="005A0982"/>
    <w:rsid w:val="005A0E60"/>
    <w:rsid w:val="005A4F24"/>
    <w:rsid w:val="005A516C"/>
    <w:rsid w:val="005A719B"/>
    <w:rsid w:val="005A75A7"/>
    <w:rsid w:val="005A7AB4"/>
    <w:rsid w:val="005B17E0"/>
    <w:rsid w:val="005B1C7D"/>
    <w:rsid w:val="005B2A10"/>
    <w:rsid w:val="005B3286"/>
    <w:rsid w:val="005C131D"/>
    <w:rsid w:val="005C36E4"/>
    <w:rsid w:val="005C41F1"/>
    <w:rsid w:val="005C6177"/>
    <w:rsid w:val="005C701C"/>
    <w:rsid w:val="005D2692"/>
    <w:rsid w:val="005D330C"/>
    <w:rsid w:val="005D3BBB"/>
    <w:rsid w:val="005D4BDA"/>
    <w:rsid w:val="005D54BF"/>
    <w:rsid w:val="005D54D2"/>
    <w:rsid w:val="005D55BE"/>
    <w:rsid w:val="005D586D"/>
    <w:rsid w:val="005D66BD"/>
    <w:rsid w:val="005D7F10"/>
    <w:rsid w:val="005E106C"/>
    <w:rsid w:val="005E1455"/>
    <w:rsid w:val="005E2883"/>
    <w:rsid w:val="005E2A28"/>
    <w:rsid w:val="005E459F"/>
    <w:rsid w:val="005E6F91"/>
    <w:rsid w:val="005E77B4"/>
    <w:rsid w:val="005E7A6E"/>
    <w:rsid w:val="005F0189"/>
    <w:rsid w:val="005F7E9F"/>
    <w:rsid w:val="006062EC"/>
    <w:rsid w:val="00606C46"/>
    <w:rsid w:val="00611BA5"/>
    <w:rsid w:val="00611BA8"/>
    <w:rsid w:val="00612ECA"/>
    <w:rsid w:val="006145D1"/>
    <w:rsid w:val="00615C55"/>
    <w:rsid w:val="00617CA8"/>
    <w:rsid w:val="006208FD"/>
    <w:rsid w:val="00623F43"/>
    <w:rsid w:val="00624929"/>
    <w:rsid w:val="00625545"/>
    <w:rsid w:val="00630B82"/>
    <w:rsid w:val="006320A2"/>
    <w:rsid w:val="006343C2"/>
    <w:rsid w:val="006346DB"/>
    <w:rsid w:val="00634E19"/>
    <w:rsid w:val="00640911"/>
    <w:rsid w:val="00642E03"/>
    <w:rsid w:val="006508C0"/>
    <w:rsid w:val="00650CA1"/>
    <w:rsid w:val="0065169D"/>
    <w:rsid w:val="00651FBB"/>
    <w:rsid w:val="006558A7"/>
    <w:rsid w:val="00673414"/>
    <w:rsid w:val="00676424"/>
    <w:rsid w:val="00676FCA"/>
    <w:rsid w:val="00677867"/>
    <w:rsid w:val="0068387F"/>
    <w:rsid w:val="0069017D"/>
    <w:rsid w:val="0069031E"/>
    <w:rsid w:val="00690BF1"/>
    <w:rsid w:val="006939F6"/>
    <w:rsid w:val="00694CFC"/>
    <w:rsid w:val="0069628E"/>
    <w:rsid w:val="00696A56"/>
    <w:rsid w:val="006A07DE"/>
    <w:rsid w:val="006A0DAB"/>
    <w:rsid w:val="006A257B"/>
    <w:rsid w:val="006A413B"/>
    <w:rsid w:val="006A4FE5"/>
    <w:rsid w:val="006B1928"/>
    <w:rsid w:val="006B1C00"/>
    <w:rsid w:val="006B3115"/>
    <w:rsid w:val="006B3E97"/>
    <w:rsid w:val="006B4FF8"/>
    <w:rsid w:val="006C0DE6"/>
    <w:rsid w:val="006C4D58"/>
    <w:rsid w:val="006C6030"/>
    <w:rsid w:val="006D11C1"/>
    <w:rsid w:val="006D2CD5"/>
    <w:rsid w:val="006D360B"/>
    <w:rsid w:val="006D5152"/>
    <w:rsid w:val="006D5512"/>
    <w:rsid w:val="006D5B3F"/>
    <w:rsid w:val="006D61BF"/>
    <w:rsid w:val="006D6F00"/>
    <w:rsid w:val="006D70DA"/>
    <w:rsid w:val="006D73FF"/>
    <w:rsid w:val="006E1C06"/>
    <w:rsid w:val="006E2827"/>
    <w:rsid w:val="006E5388"/>
    <w:rsid w:val="006E61F4"/>
    <w:rsid w:val="006E6575"/>
    <w:rsid w:val="006E7679"/>
    <w:rsid w:val="006F1A7F"/>
    <w:rsid w:val="006F1B44"/>
    <w:rsid w:val="006F223A"/>
    <w:rsid w:val="006F423B"/>
    <w:rsid w:val="006F7EBC"/>
    <w:rsid w:val="00703BE1"/>
    <w:rsid w:val="007072B4"/>
    <w:rsid w:val="00712555"/>
    <w:rsid w:val="00721D6D"/>
    <w:rsid w:val="00726B3E"/>
    <w:rsid w:val="00732D03"/>
    <w:rsid w:val="00735520"/>
    <w:rsid w:val="00736399"/>
    <w:rsid w:val="0073703C"/>
    <w:rsid w:val="007419D2"/>
    <w:rsid w:val="0074251C"/>
    <w:rsid w:val="007425A9"/>
    <w:rsid w:val="0074407B"/>
    <w:rsid w:val="00744726"/>
    <w:rsid w:val="00745A7D"/>
    <w:rsid w:val="007461A4"/>
    <w:rsid w:val="00746206"/>
    <w:rsid w:val="007475D0"/>
    <w:rsid w:val="00747626"/>
    <w:rsid w:val="00747F7C"/>
    <w:rsid w:val="00750CC6"/>
    <w:rsid w:val="007516CB"/>
    <w:rsid w:val="0075237D"/>
    <w:rsid w:val="00753BE5"/>
    <w:rsid w:val="007667B8"/>
    <w:rsid w:val="0076705B"/>
    <w:rsid w:val="00770821"/>
    <w:rsid w:val="007721E9"/>
    <w:rsid w:val="007773FF"/>
    <w:rsid w:val="0077748A"/>
    <w:rsid w:val="00783DAD"/>
    <w:rsid w:val="00786988"/>
    <w:rsid w:val="00790425"/>
    <w:rsid w:val="00791F8F"/>
    <w:rsid w:val="00793F04"/>
    <w:rsid w:val="00795642"/>
    <w:rsid w:val="00796A15"/>
    <w:rsid w:val="007A1D18"/>
    <w:rsid w:val="007A2807"/>
    <w:rsid w:val="007A3345"/>
    <w:rsid w:val="007A4645"/>
    <w:rsid w:val="007A5ABB"/>
    <w:rsid w:val="007A6847"/>
    <w:rsid w:val="007A6EFB"/>
    <w:rsid w:val="007B0146"/>
    <w:rsid w:val="007B16D3"/>
    <w:rsid w:val="007B535F"/>
    <w:rsid w:val="007B5E0F"/>
    <w:rsid w:val="007B6F64"/>
    <w:rsid w:val="007C2759"/>
    <w:rsid w:val="007C2E5B"/>
    <w:rsid w:val="007C5325"/>
    <w:rsid w:val="007C5FEF"/>
    <w:rsid w:val="007C65AE"/>
    <w:rsid w:val="007C75B8"/>
    <w:rsid w:val="007D1C60"/>
    <w:rsid w:val="007D4CFD"/>
    <w:rsid w:val="007D4F15"/>
    <w:rsid w:val="007D6105"/>
    <w:rsid w:val="007D66E0"/>
    <w:rsid w:val="007E4756"/>
    <w:rsid w:val="007E70AB"/>
    <w:rsid w:val="007F11F7"/>
    <w:rsid w:val="007F3347"/>
    <w:rsid w:val="007F33AB"/>
    <w:rsid w:val="007F7573"/>
    <w:rsid w:val="008000D7"/>
    <w:rsid w:val="008021EA"/>
    <w:rsid w:val="0080345F"/>
    <w:rsid w:val="00806CCE"/>
    <w:rsid w:val="00807D13"/>
    <w:rsid w:val="008116A0"/>
    <w:rsid w:val="00813896"/>
    <w:rsid w:val="00820B3E"/>
    <w:rsid w:val="00820D83"/>
    <w:rsid w:val="00823AA0"/>
    <w:rsid w:val="00824439"/>
    <w:rsid w:val="00827CAD"/>
    <w:rsid w:val="00833FCB"/>
    <w:rsid w:val="0083499E"/>
    <w:rsid w:val="00834EED"/>
    <w:rsid w:val="00837CEB"/>
    <w:rsid w:val="0084107E"/>
    <w:rsid w:val="00843268"/>
    <w:rsid w:val="00847156"/>
    <w:rsid w:val="00853F99"/>
    <w:rsid w:val="00857865"/>
    <w:rsid w:val="008612F3"/>
    <w:rsid w:val="008620D8"/>
    <w:rsid w:val="00865102"/>
    <w:rsid w:val="0086648E"/>
    <w:rsid w:val="00871864"/>
    <w:rsid w:val="00871905"/>
    <w:rsid w:val="00872182"/>
    <w:rsid w:val="00875B26"/>
    <w:rsid w:val="008771B9"/>
    <w:rsid w:val="00880540"/>
    <w:rsid w:val="008836A6"/>
    <w:rsid w:val="00883D14"/>
    <w:rsid w:val="008858A3"/>
    <w:rsid w:val="008910E9"/>
    <w:rsid w:val="00892035"/>
    <w:rsid w:val="008966E1"/>
    <w:rsid w:val="008A03CA"/>
    <w:rsid w:val="008A086C"/>
    <w:rsid w:val="008A478F"/>
    <w:rsid w:val="008B1CFD"/>
    <w:rsid w:val="008B701D"/>
    <w:rsid w:val="008C002D"/>
    <w:rsid w:val="008C1448"/>
    <w:rsid w:val="008C2B0E"/>
    <w:rsid w:val="008C2E00"/>
    <w:rsid w:val="008C32C1"/>
    <w:rsid w:val="008C4BCE"/>
    <w:rsid w:val="008C5339"/>
    <w:rsid w:val="008C56E4"/>
    <w:rsid w:val="008D0733"/>
    <w:rsid w:val="008D0999"/>
    <w:rsid w:val="008D344F"/>
    <w:rsid w:val="008D5F01"/>
    <w:rsid w:val="008D6998"/>
    <w:rsid w:val="008D6AB9"/>
    <w:rsid w:val="008E0F58"/>
    <w:rsid w:val="008E7BC1"/>
    <w:rsid w:val="008F0B30"/>
    <w:rsid w:val="008F1E31"/>
    <w:rsid w:val="008F6D64"/>
    <w:rsid w:val="00900F2E"/>
    <w:rsid w:val="009027AC"/>
    <w:rsid w:val="00905465"/>
    <w:rsid w:val="00907255"/>
    <w:rsid w:val="009112B7"/>
    <w:rsid w:val="009145F0"/>
    <w:rsid w:val="00914C91"/>
    <w:rsid w:val="00914E02"/>
    <w:rsid w:val="009155FE"/>
    <w:rsid w:val="00916157"/>
    <w:rsid w:val="009161E0"/>
    <w:rsid w:val="00916F60"/>
    <w:rsid w:val="00922C16"/>
    <w:rsid w:val="009236E4"/>
    <w:rsid w:val="00924A23"/>
    <w:rsid w:val="009258CC"/>
    <w:rsid w:val="009270B2"/>
    <w:rsid w:val="00933EC8"/>
    <w:rsid w:val="00933F58"/>
    <w:rsid w:val="00936271"/>
    <w:rsid w:val="0094231E"/>
    <w:rsid w:val="009429A2"/>
    <w:rsid w:val="0094320E"/>
    <w:rsid w:val="00943A04"/>
    <w:rsid w:val="0094597F"/>
    <w:rsid w:val="00946FC4"/>
    <w:rsid w:val="009516C7"/>
    <w:rsid w:val="00952EB4"/>
    <w:rsid w:val="00955306"/>
    <w:rsid w:val="00956F41"/>
    <w:rsid w:val="00961945"/>
    <w:rsid w:val="00963C39"/>
    <w:rsid w:val="00965EC2"/>
    <w:rsid w:val="009702E6"/>
    <w:rsid w:val="00975984"/>
    <w:rsid w:val="0098219C"/>
    <w:rsid w:val="009822CC"/>
    <w:rsid w:val="0098794F"/>
    <w:rsid w:val="009903D1"/>
    <w:rsid w:val="0099058E"/>
    <w:rsid w:val="00995B17"/>
    <w:rsid w:val="00995E17"/>
    <w:rsid w:val="00996667"/>
    <w:rsid w:val="009A0505"/>
    <w:rsid w:val="009A0562"/>
    <w:rsid w:val="009A087D"/>
    <w:rsid w:val="009A122B"/>
    <w:rsid w:val="009A1394"/>
    <w:rsid w:val="009A3255"/>
    <w:rsid w:val="009A3BE0"/>
    <w:rsid w:val="009A5473"/>
    <w:rsid w:val="009A642E"/>
    <w:rsid w:val="009B37E7"/>
    <w:rsid w:val="009B4A0D"/>
    <w:rsid w:val="009B69A7"/>
    <w:rsid w:val="009B732C"/>
    <w:rsid w:val="009C0B94"/>
    <w:rsid w:val="009C7E2B"/>
    <w:rsid w:val="009D0D7D"/>
    <w:rsid w:val="009D2B09"/>
    <w:rsid w:val="009D33F9"/>
    <w:rsid w:val="009D5FAE"/>
    <w:rsid w:val="009E13E3"/>
    <w:rsid w:val="009E16A1"/>
    <w:rsid w:val="009E196D"/>
    <w:rsid w:val="009E21C2"/>
    <w:rsid w:val="009E49AD"/>
    <w:rsid w:val="009F3CA4"/>
    <w:rsid w:val="009F4DC9"/>
    <w:rsid w:val="009F58B0"/>
    <w:rsid w:val="00A01047"/>
    <w:rsid w:val="00A03B88"/>
    <w:rsid w:val="00A0479D"/>
    <w:rsid w:val="00A059B2"/>
    <w:rsid w:val="00A0634A"/>
    <w:rsid w:val="00A06645"/>
    <w:rsid w:val="00A1467C"/>
    <w:rsid w:val="00A165CF"/>
    <w:rsid w:val="00A16652"/>
    <w:rsid w:val="00A23550"/>
    <w:rsid w:val="00A25B2E"/>
    <w:rsid w:val="00A309F9"/>
    <w:rsid w:val="00A34BAB"/>
    <w:rsid w:val="00A3512F"/>
    <w:rsid w:val="00A356D7"/>
    <w:rsid w:val="00A357CC"/>
    <w:rsid w:val="00A37766"/>
    <w:rsid w:val="00A40841"/>
    <w:rsid w:val="00A42CF0"/>
    <w:rsid w:val="00A45277"/>
    <w:rsid w:val="00A457B7"/>
    <w:rsid w:val="00A45F94"/>
    <w:rsid w:val="00A46513"/>
    <w:rsid w:val="00A46DE8"/>
    <w:rsid w:val="00A47E74"/>
    <w:rsid w:val="00A514D1"/>
    <w:rsid w:val="00A51C40"/>
    <w:rsid w:val="00A56975"/>
    <w:rsid w:val="00A5770C"/>
    <w:rsid w:val="00A613EB"/>
    <w:rsid w:val="00A638AA"/>
    <w:rsid w:val="00A658EC"/>
    <w:rsid w:val="00A74EAD"/>
    <w:rsid w:val="00A76861"/>
    <w:rsid w:val="00A77334"/>
    <w:rsid w:val="00A81A0E"/>
    <w:rsid w:val="00A837ED"/>
    <w:rsid w:val="00A85919"/>
    <w:rsid w:val="00A87CA3"/>
    <w:rsid w:val="00A900A5"/>
    <w:rsid w:val="00A92F7F"/>
    <w:rsid w:val="00A939FF"/>
    <w:rsid w:val="00A94BC2"/>
    <w:rsid w:val="00A96FEE"/>
    <w:rsid w:val="00AA5D9A"/>
    <w:rsid w:val="00AA69D6"/>
    <w:rsid w:val="00AA78FD"/>
    <w:rsid w:val="00AB0F51"/>
    <w:rsid w:val="00AB3FEF"/>
    <w:rsid w:val="00AB56B0"/>
    <w:rsid w:val="00AB5700"/>
    <w:rsid w:val="00AB6B80"/>
    <w:rsid w:val="00AC31FC"/>
    <w:rsid w:val="00AC396E"/>
    <w:rsid w:val="00AC3B3A"/>
    <w:rsid w:val="00AC5A5B"/>
    <w:rsid w:val="00AC5E5B"/>
    <w:rsid w:val="00AC6BBF"/>
    <w:rsid w:val="00AD0EA5"/>
    <w:rsid w:val="00AD314E"/>
    <w:rsid w:val="00AD6C6F"/>
    <w:rsid w:val="00AD6C84"/>
    <w:rsid w:val="00AD6D8D"/>
    <w:rsid w:val="00AD7A66"/>
    <w:rsid w:val="00AE11D9"/>
    <w:rsid w:val="00AE7175"/>
    <w:rsid w:val="00AE73CF"/>
    <w:rsid w:val="00AF01D6"/>
    <w:rsid w:val="00AF1C04"/>
    <w:rsid w:val="00AF2F6D"/>
    <w:rsid w:val="00AF6BDD"/>
    <w:rsid w:val="00AF7B54"/>
    <w:rsid w:val="00B04ABB"/>
    <w:rsid w:val="00B05B50"/>
    <w:rsid w:val="00B13977"/>
    <w:rsid w:val="00B163DD"/>
    <w:rsid w:val="00B21C75"/>
    <w:rsid w:val="00B2202B"/>
    <w:rsid w:val="00B2310C"/>
    <w:rsid w:val="00B24372"/>
    <w:rsid w:val="00B24AFE"/>
    <w:rsid w:val="00B2684B"/>
    <w:rsid w:val="00B31593"/>
    <w:rsid w:val="00B34A71"/>
    <w:rsid w:val="00B3579C"/>
    <w:rsid w:val="00B3607A"/>
    <w:rsid w:val="00B36D08"/>
    <w:rsid w:val="00B406EF"/>
    <w:rsid w:val="00B41129"/>
    <w:rsid w:val="00B42274"/>
    <w:rsid w:val="00B42DC0"/>
    <w:rsid w:val="00B46506"/>
    <w:rsid w:val="00B503CC"/>
    <w:rsid w:val="00B53395"/>
    <w:rsid w:val="00B53EAA"/>
    <w:rsid w:val="00B56E6B"/>
    <w:rsid w:val="00B57016"/>
    <w:rsid w:val="00B61111"/>
    <w:rsid w:val="00B6185F"/>
    <w:rsid w:val="00B61ED8"/>
    <w:rsid w:val="00B6656A"/>
    <w:rsid w:val="00B66DBF"/>
    <w:rsid w:val="00B7109B"/>
    <w:rsid w:val="00B74B70"/>
    <w:rsid w:val="00B75245"/>
    <w:rsid w:val="00B762E8"/>
    <w:rsid w:val="00B807CA"/>
    <w:rsid w:val="00B80ACF"/>
    <w:rsid w:val="00B817E1"/>
    <w:rsid w:val="00B81BE8"/>
    <w:rsid w:val="00B81F04"/>
    <w:rsid w:val="00B831DF"/>
    <w:rsid w:val="00B83C36"/>
    <w:rsid w:val="00B86B00"/>
    <w:rsid w:val="00B87EF5"/>
    <w:rsid w:val="00B90584"/>
    <w:rsid w:val="00B95A57"/>
    <w:rsid w:val="00B97BAF"/>
    <w:rsid w:val="00BA0CD5"/>
    <w:rsid w:val="00BA14A1"/>
    <w:rsid w:val="00BA15D4"/>
    <w:rsid w:val="00BA4E3D"/>
    <w:rsid w:val="00BA51B6"/>
    <w:rsid w:val="00BA52E0"/>
    <w:rsid w:val="00BA6CEC"/>
    <w:rsid w:val="00BB2C31"/>
    <w:rsid w:val="00BB51E8"/>
    <w:rsid w:val="00BB6CD1"/>
    <w:rsid w:val="00BC5222"/>
    <w:rsid w:val="00BC6671"/>
    <w:rsid w:val="00BD2839"/>
    <w:rsid w:val="00BD37E5"/>
    <w:rsid w:val="00BD3892"/>
    <w:rsid w:val="00BD5B3A"/>
    <w:rsid w:val="00BD7790"/>
    <w:rsid w:val="00BD7E89"/>
    <w:rsid w:val="00BE1D67"/>
    <w:rsid w:val="00BE20A2"/>
    <w:rsid w:val="00BE3259"/>
    <w:rsid w:val="00BE5AB8"/>
    <w:rsid w:val="00BE76C7"/>
    <w:rsid w:val="00BF0894"/>
    <w:rsid w:val="00BF2AA4"/>
    <w:rsid w:val="00BF369F"/>
    <w:rsid w:val="00BF3B59"/>
    <w:rsid w:val="00BF6E55"/>
    <w:rsid w:val="00C00CFE"/>
    <w:rsid w:val="00C028EA"/>
    <w:rsid w:val="00C02C1C"/>
    <w:rsid w:val="00C030DE"/>
    <w:rsid w:val="00C07152"/>
    <w:rsid w:val="00C1149D"/>
    <w:rsid w:val="00C1442C"/>
    <w:rsid w:val="00C152CB"/>
    <w:rsid w:val="00C15825"/>
    <w:rsid w:val="00C16111"/>
    <w:rsid w:val="00C17684"/>
    <w:rsid w:val="00C209D0"/>
    <w:rsid w:val="00C20F15"/>
    <w:rsid w:val="00C2123B"/>
    <w:rsid w:val="00C21937"/>
    <w:rsid w:val="00C22CBF"/>
    <w:rsid w:val="00C26532"/>
    <w:rsid w:val="00C305A9"/>
    <w:rsid w:val="00C31620"/>
    <w:rsid w:val="00C31B59"/>
    <w:rsid w:val="00C321F5"/>
    <w:rsid w:val="00C3248F"/>
    <w:rsid w:val="00C3354C"/>
    <w:rsid w:val="00C347D8"/>
    <w:rsid w:val="00C36CE8"/>
    <w:rsid w:val="00C402F3"/>
    <w:rsid w:val="00C432AE"/>
    <w:rsid w:val="00C43785"/>
    <w:rsid w:val="00C43CE4"/>
    <w:rsid w:val="00C611F6"/>
    <w:rsid w:val="00C623B6"/>
    <w:rsid w:val="00C6577B"/>
    <w:rsid w:val="00C66C05"/>
    <w:rsid w:val="00C66D04"/>
    <w:rsid w:val="00C66F30"/>
    <w:rsid w:val="00C67DF4"/>
    <w:rsid w:val="00C70205"/>
    <w:rsid w:val="00C71356"/>
    <w:rsid w:val="00C729F5"/>
    <w:rsid w:val="00C8039D"/>
    <w:rsid w:val="00C80D26"/>
    <w:rsid w:val="00C8232F"/>
    <w:rsid w:val="00C831F0"/>
    <w:rsid w:val="00C836CA"/>
    <w:rsid w:val="00C859DE"/>
    <w:rsid w:val="00C865DC"/>
    <w:rsid w:val="00C86BD0"/>
    <w:rsid w:val="00C8774C"/>
    <w:rsid w:val="00CA08A2"/>
    <w:rsid w:val="00CA212E"/>
    <w:rsid w:val="00CA2D76"/>
    <w:rsid w:val="00CA3CE8"/>
    <w:rsid w:val="00CB104F"/>
    <w:rsid w:val="00CB10A3"/>
    <w:rsid w:val="00CB27F0"/>
    <w:rsid w:val="00CB2EF3"/>
    <w:rsid w:val="00CB4082"/>
    <w:rsid w:val="00CB491B"/>
    <w:rsid w:val="00CB6B61"/>
    <w:rsid w:val="00CB6DA6"/>
    <w:rsid w:val="00CB7FC3"/>
    <w:rsid w:val="00CC0647"/>
    <w:rsid w:val="00CC1B9C"/>
    <w:rsid w:val="00CC2460"/>
    <w:rsid w:val="00CC271F"/>
    <w:rsid w:val="00CC3998"/>
    <w:rsid w:val="00CC5CFD"/>
    <w:rsid w:val="00CC714C"/>
    <w:rsid w:val="00CD2723"/>
    <w:rsid w:val="00CD393E"/>
    <w:rsid w:val="00CD4B7E"/>
    <w:rsid w:val="00CD5311"/>
    <w:rsid w:val="00CD598B"/>
    <w:rsid w:val="00CD61B1"/>
    <w:rsid w:val="00CD6D16"/>
    <w:rsid w:val="00CE3F7A"/>
    <w:rsid w:val="00CE5EB0"/>
    <w:rsid w:val="00CE6E1A"/>
    <w:rsid w:val="00CE766B"/>
    <w:rsid w:val="00CE7969"/>
    <w:rsid w:val="00CE7C90"/>
    <w:rsid w:val="00CF0BDB"/>
    <w:rsid w:val="00CF10F5"/>
    <w:rsid w:val="00CF3663"/>
    <w:rsid w:val="00CF36CB"/>
    <w:rsid w:val="00CF5C54"/>
    <w:rsid w:val="00D017E9"/>
    <w:rsid w:val="00D050B3"/>
    <w:rsid w:val="00D05171"/>
    <w:rsid w:val="00D054BC"/>
    <w:rsid w:val="00D06C43"/>
    <w:rsid w:val="00D142BA"/>
    <w:rsid w:val="00D14832"/>
    <w:rsid w:val="00D14E80"/>
    <w:rsid w:val="00D15493"/>
    <w:rsid w:val="00D17765"/>
    <w:rsid w:val="00D20C38"/>
    <w:rsid w:val="00D21625"/>
    <w:rsid w:val="00D2535C"/>
    <w:rsid w:val="00D277F9"/>
    <w:rsid w:val="00D31386"/>
    <w:rsid w:val="00D367F2"/>
    <w:rsid w:val="00D37C20"/>
    <w:rsid w:val="00D401BA"/>
    <w:rsid w:val="00D42533"/>
    <w:rsid w:val="00D43FEC"/>
    <w:rsid w:val="00D46DA5"/>
    <w:rsid w:val="00D54783"/>
    <w:rsid w:val="00D556E7"/>
    <w:rsid w:val="00D62849"/>
    <w:rsid w:val="00D66255"/>
    <w:rsid w:val="00D71F1E"/>
    <w:rsid w:val="00D72617"/>
    <w:rsid w:val="00D758B0"/>
    <w:rsid w:val="00D75DD2"/>
    <w:rsid w:val="00D76F04"/>
    <w:rsid w:val="00D77E6C"/>
    <w:rsid w:val="00D802A3"/>
    <w:rsid w:val="00D81346"/>
    <w:rsid w:val="00D83952"/>
    <w:rsid w:val="00D8477A"/>
    <w:rsid w:val="00D85C0E"/>
    <w:rsid w:val="00D862DA"/>
    <w:rsid w:val="00D86891"/>
    <w:rsid w:val="00D91BC0"/>
    <w:rsid w:val="00D92022"/>
    <w:rsid w:val="00D92977"/>
    <w:rsid w:val="00D9454B"/>
    <w:rsid w:val="00DA2A50"/>
    <w:rsid w:val="00DA3465"/>
    <w:rsid w:val="00DA42DC"/>
    <w:rsid w:val="00DA5DAB"/>
    <w:rsid w:val="00DA7E91"/>
    <w:rsid w:val="00DB13A1"/>
    <w:rsid w:val="00DB21ED"/>
    <w:rsid w:val="00DC0A02"/>
    <w:rsid w:val="00DC0E5D"/>
    <w:rsid w:val="00DC239D"/>
    <w:rsid w:val="00DD31C1"/>
    <w:rsid w:val="00DD55BF"/>
    <w:rsid w:val="00DD5B80"/>
    <w:rsid w:val="00DD5E8A"/>
    <w:rsid w:val="00DD7CE1"/>
    <w:rsid w:val="00DE1B92"/>
    <w:rsid w:val="00DE22AF"/>
    <w:rsid w:val="00DE358A"/>
    <w:rsid w:val="00DE5065"/>
    <w:rsid w:val="00DE6993"/>
    <w:rsid w:val="00DF2DC4"/>
    <w:rsid w:val="00DF39E1"/>
    <w:rsid w:val="00DF5CE5"/>
    <w:rsid w:val="00DF7D9C"/>
    <w:rsid w:val="00E0042E"/>
    <w:rsid w:val="00E01300"/>
    <w:rsid w:val="00E01C49"/>
    <w:rsid w:val="00E02A43"/>
    <w:rsid w:val="00E038E4"/>
    <w:rsid w:val="00E039E7"/>
    <w:rsid w:val="00E04693"/>
    <w:rsid w:val="00E04D50"/>
    <w:rsid w:val="00E05122"/>
    <w:rsid w:val="00E0603B"/>
    <w:rsid w:val="00E060D5"/>
    <w:rsid w:val="00E064B1"/>
    <w:rsid w:val="00E10784"/>
    <w:rsid w:val="00E12714"/>
    <w:rsid w:val="00E13CD2"/>
    <w:rsid w:val="00E15A50"/>
    <w:rsid w:val="00E15F7D"/>
    <w:rsid w:val="00E172D8"/>
    <w:rsid w:val="00E2041F"/>
    <w:rsid w:val="00E21C16"/>
    <w:rsid w:val="00E25AE1"/>
    <w:rsid w:val="00E26AC0"/>
    <w:rsid w:val="00E2795B"/>
    <w:rsid w:val="00E32A62"/>
    <w:rsid w:val="00E47144"/>
    <w:rsid w:val="00E47500"/>
    <w:rsid w:val="00E475CD"/>
    <w:rsid w:val="00E4783C"/>
    <w:rsid w:val="00E47C48"/>
    <w:rsid w:val="00E50818"/>
    <w:rsid w:val="00E5387F"/>
    <w:rsid w:val="00E53BFA"/>
    <w:rsid w:val="00E55103"/>
    <w:rsid w:val="00E5660E"/>
    <w:rsid w:val="00E6060E"/>
    <w:rsid w:val="00E61C4E"/>
    <w:rsid w:val="00E642A2"/>
    <w:rsid w:val="00E647FD"/>
    <w:rsid w:val="00E65D53"/>
    <w:rsid w:val="00E65F70"/>
    <w:rsid w:val="00E66483"/>
    <w:rsid w:val="00E72431"/>
    <w:rsid w:val="00E72A3F"/>
    <w:rsid w:val="00E72EF7"/>
    <w:rsid w:val="00E74E25"/>
    <w:rsid w:val="00E758CA"/>
    <w:rsid w:val="00E80851"/>
    <w:rsid w:val="00E82EC2"/>
    <w:rsid w:val="00E868FE"/>
    <w:rsid w:val="00E87818"/>
    <w:rsid w:val="00E92DFC"/>
    <w:rsid w:val="00E95AC1"/>
    <w:rsid w:val="00E96D9D"/>
    <w:rsid w:val="00EA014E"/>
    <w:rsid w:val="00EA1DDA"/>
    <w:rsid w:val="00EA34D4"/>
    <w:rsid w:val="00EA77D7"/>
    <w:rsid w:val="00EB00A7"/>
    <w:rsid w:val="00EB0CC0"/>
    <w:rsid w:val="00EB1964"/>
    <w:rsid w:val="00EB2F5E"/>
    <w:rsid w:val="00EB345D"/>
    <w:rsid w:val="00EB4791"/>
    <w:rsid w:val="00EB4FA2"/>
    <w:rsid w:val="00EB5127"/>
    <w:rsid w:val="00EB6CEA"/>
    <w:rsid w:val="00EC263B"/>
    <w:rsid w:val="00EC5C07"/>
    <w:rsid w:val="00EC693F"/>
    <w:rsid w:val="00ED06ED"/>
    <w:rsid w:val="00ED386A"/>
    <w:rsid w:val="00ED4D62"/>
    <w:rsid w:val="00ED619E"/>
    <w:rsid w:val="00EE0E5D"/>
    <w:rsid w:val="00EE115E"/>
    <w:rsid w:val="00EE2015"/>
    <w:rsid w:val="00EE2A1A"/>
    <w:rsid w:val="00EE47BE"/>
    <w:rsid w:val="00EE5061"/>
    <w:rsid w:val="00EE59C3"/>
    <w:rsid w:val="00EE67C4"/>
    <w:rsid w:val="00EE77FF"/>
    <w:rsid w:val="00EE7898"/>
    <w:rsid w:val="00EF5B41"/>
    <w:rsid w:val="00EF5D9F"/>
    <w:rsid w:val="00EF648E"/>
    <w:rsid w:val="00EF6542"/>
    <w:rsid w:val="00EF693C"/>
    <w:rsid w:val="00F00DF8"/>
    <w:rsid w:val="00F04954"/>
    <w:rsid w:val="00F06180"/>
    <w:rsid w:val="00F07F74"/>
    <w:rsid w:val="00F12252"/>
    <w:rsid w:val="00F127A1"/>
    <w:rsid w:val="00F12C57"/>
    <w:rsid w:val="00F1325D"/>
    <w:rsid w:val="00F13842"/>
    <w:rsid w:val="00F1439B"/>
    <w:rsid w:val="00F16FAC"/>
    <w:rsid w:val="00F173BB"/>
    <w:rsid w:val="00F213FF"/>
    <w:rsid w:val="00F22F4C"/>
    <w:rsid w:val="00F23623"/>
    <w:rsid w:val="00F25538"/>
    <w:rsid w:val="00F262FD"/>
    <w:rsid w:val="00F26398"/>
    <w:rsid w:val="00F329CC"/>
    <w:rsid w:val="00F33902"/>
    <w:rsid w:val="00F34819"/>
    <w:rsid w:val="00F36DB7"/>
    <w:rsid w:val="00F4010D"/>
    <w:rsid w:val="00F40449"/>
    <w:rsid w:val="00F43ACD"/>
    <w:rsid w:val="00F44609"/>
    <w:rsid w:val="00F460DF"/>
    <w:rsid w:val="00F4625B"/>
    <w:rsid w:val="00F50BD4"/>
    <w:rsid w:val="00F50C45"/>
    <w:rsid w:val="00F55BC3"/>
    <w:rsid w:val="00F565BB"/>
    <w:rsid w:val="00F61641"/>
    <w:rsid w:val="00F70874"/>
    <w:rsid w:val="00F71E87"/>
    <w:rsid w:val="00F73A8E"/>
    <w:rsid w:val="00F73E3C"/>
    <w:rsid w:val="00F760E5"/>
    <w:rsid w:val="00F80AAA"/>
    <w:rsid w:val="00F80B02"/>
    <w:rsid w:val="00F819BE"/>
    <w:rsid w:val="00F829A7"/>
    <w:rsid w:val="00F905E8"/>
    <w:rsid w:val="00F924A9"/>
    <w:rsid w:val="00F92606"/>
    <w:rsid w:val="00F961F8"/>
    <w:rsid w:val="00FA1D33"/>
    <w:rsid w:val="00FA1D56"/>
    <w:rsid w:val="00FA2C82"/>
    <w:rsid w:val="00FA6479"/>
    <w:rsid w:val="00FA67D9"/>
    <w:rsid w:val="00FA6A77"/>
    <w:rsid w:val="00FA75DE"/>
    <w:rsid w:val="00FB47FE"/>
    <w:rsid w:val="00FC55E4"/>
    <w:rsid w:val="00FC5FCF"/>
    <w:rsid w:val="00FC6D69"/>
    <w:rsid w:val="00FC7755"/>
    <w:rsid w:val="00FC7F3C"/>
    <w:rsid w:val="00FD023C"/>
    <w:rsid w:val="00FD136A"/>
    <w:rsid w:val="00FD2592"/>
    <w:rsid w:val="00FE18FF"/>
    <w:rsid w:val="00FE312E"/>
    <w:rsid w:val="00FE35DC"/>
    <w:rsid w:val="00FE5DF2"/>
    <w:rsid w:val="00FE6E67"/>
    <w:rsid w:val="00FF4216"/>
    <w:rsid w:val="00FF4333"/>
    <w:rsid w:val="00FF45D7"/>
    <w:rsid w:val="00FF62DD"/>
    <w:rsid w:val="00FF74CB"/>
    <w:rsid w:val="00F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7E3F4"/>
  <w15:chartTrackingRefBased/>
  <w15:docId w15:val="{29007BDB-F019-42C3-A587-95E13E65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965"/>
    <w:pPr>
      <w:keepNext/>
      <w:keepLines/>
      <w:spacing w:before="240" w:after="0"/>
      <w:outlineLvl w:val="0"/>
    </w:pPr>
    <w:rPr>
      <w:rFonts w:asciiTheme="majorHAnsi" w:eastAsiaTheme="majorEastAsia" w:hAnsiTheme="majorHAnsi" w:cstheme="majorBidi"/>
      <w:color w:val="1F4E79" w:themeColor="accent1" w:themeShade="80"/>
      <w:sz w:val="28"/>
      <w:szCs w:val="32"/>
      <w:lang w:val="hr-HR"/>
    </w:rPr>
  </w:style>
  <w:style w:type="paragraph" w:styleId="Heading2">
    <w:name w:val="heading 2"/>
    <w:basedOn w:val="Normal"/>
    <w:next w:val="Normal"/>
    <w:link w:val="Heading2Char"/>
    <w:uiPriority w:val="9"/>
    <w:unhideWhenUsed/>
    <w:qFormat/>
    <w:rsid w:val="00E21C16"/>
    <w:pPr>
      <w:keepNext/>
      <w:keepLines/>
      <w:spacing w:before="40" w:after="0"/>
      <w:ind w:left="284"/>
      <w:outlineLvl w:val="1"/>
    </w:pPr>
    <w:rPr>
      <w:rFonts w:asciiTheme="majorHAnsi" w:eastAsiaTheme="majorEastAsia" w:hAnsiTheme="majorHAnsi" w:cstheme="majorBidi"/>
      <w:color w:val="767171" w:themeColor="background2" w:themeShade="80"/>
      <w:sz w:val="24"/>
      <w:szCs w:val="26"/>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C0"/>
  </w:style>
  <w:style w:type="paragraph" w:styleId="Footer">
    <w:name w:val="footer"/>
    <w:basedOn w:val="Normal"/>
    <w:link w:val="FooterChar"/>
    <w:uiPriority w:val="99"/>
    <w:unhideWhenUsed/>
    <w:rsid w:val="00EB0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C0"/>
  </w:style>
  <w:style w:type="table" w:styleId="TableGrid">
    <w:name w:val="Table Grid"/>
    <w:basedOn w:val="TableNormal"/>
    <w:uiPriority w:val="39"/>
    <w:rsid w:val="00EB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3965"/>
    <w:rPr>
      <w:rFonts w:asciiTheme="majorHAnsi" w:eastAsiaTheme="majorEastAsia" w:hAnsiTheme="majorHAnsi" w:cstheme="majorBidi"/>
      <w:color w:val="1F4E79" w:themeColor="accent1" w:themeShade="80"/>
      <w:sz w:val="28"/>
      <w:szCs w:val="32"/>
      <w:lang w:val="hr-HR"/>
    </w:rPr>
  </w:style>
  <w:style w:type="character" w:customStyle="1" w:styleId="Heading2Char">
    <w:name w:val="Heading 2 Char"/>
    <w:basedOn w:val="DefaultParagraphFont"/>
    <w:link w:val="Heading2"/>
    <w:uiPriority w:val="9"/>
    <w:rsid w:val="00E21C16"/>
    <w:rPr>
      <w:rFonts w:asciiTheme="majorHAnsi" w:eastAsiaTheme="majorEastAsia" w:hAnsiTheme="majorHAnsi" w:cstheme="majorBidi"/>
      <w:color w:val="767171" w:themeColor="background2" w:themeShade="80"/>
      <w:sz w:val="24"/>
      <w:szCs w:val="26"/>
      <w:lang w:val="hr-HR"/>
    </w:rPr>
  </w:style>
  <w:style w:type="paragraph" w:styleId="TOCHeading">
    <w:name w:val="TOC Heading"/>
    <w:basedOn w:val="Heading1"/>
    <w:next w:val="Normal"/>
    <w:uiPriority w:val="39"/>
    <w:unhideWhenUsed/>
    <w:qFormat/>
    <w:rsid w:val="00961945"/>
    <w:pPr>
      <w:outlineLvl w:val="9"/>
    </w:pPr>
    <w:rPr>
      <w:color w:val="2E74B5" w:themeColor="accent1" w:themeShade="BF"/>
      <w:sz w:val="32"/>
    </w:rPr>
  </w:style>
  <w:style w:type="paragraph" w:styleId="TOC1">
    <w:name w:val="toc 1"/>
    <w:basedOn w:val="Normal"/>
    <w:next w:val="Normal"/>
    <w:autoRedefine/>
    <w:uiPriority w:val="39"/>
    <w:unhideWhenUsed/>
    <w:rsid w:val="00961945"/>
    <w:pPr>
      <w:spacing w:after="100"/>
    </w:pPr>
  </w:style>
  <w:style w:type="paragraph" w:styleId="TOC2">
    <w:name w:val="toc 2"/>
    <w:basedOn w:val="Normal"/>
    <w:next w:val="Normal"/>
    <w:autoRedefine/>
    <w:uiPriority w:val="39"/>
    <w:unhideWhenUsed/>
    <w:rsid w:val="00961945"/>
    <w:pPr>
      <w:spacing w:after="100"/>
      <w:ind w:left="220"/>
    </w:pPr>
  </w:style>
  <w:style w:type="character" w:styleId="Hyperlink">
    <w:name w:val="Hyperlink"/>
    <w:basedOn w:val="DefaultParagraphFont"/>
    <w:uiPriority w:val="99"/>
    <w:unhideWhenUsed/>
    <w:rsid w:val="00961945"/>
    <w:rPr>
      <w:color w:val="0563C1" w:themeColor="hyperlink"/>
      <w:u w:val="single"/>
    </w:rPr>
  </w:style>
  <w:style w:type="paragraph" w:styleId="ListParagraph">
    <w:name w:val="List Paragraph"/>
    <w:basedOn w:val="Normal"/>
    <w:uiPriority w:val="34"/>
    <w:qFormat/>
    <w:rsid w:val="002D5A85"/>
    <w:pPr>
      <w:ind w:left="720"/>
      <w:contextualSpacing/>
    </w:pPr>
  </w:style>
  <w:style w:type="paragraph" w:styleId="BalloonText">
    <w:name w:val="Balloon Text"/>
    <w:basedOn w:val="Normal"/>
    <w:link w:val="BalloonTextChar"/>
    <w:uiPriority w:val="99"/>
    <w:semiHidden/>
    <w:unhideWhenUsed/>
    <w:rsid w:val="00A46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DE8"/>
    <w:rPr>
      <w:rFonts w:ascii="Segoe UI" w:hAnsi="Segoe UI" w:cs="Segoe UI"/>
      <w:sz w:val="18"/>
      <w:szCs w:val="18"/>
    </w:rPr>
  </w:style>
  <w:style w:type="character" w:styleId="CommentReference">
    <w:name w:val="annotation reference"/>
    <w:basedOn w:val="DefaultParagraphFont"/>
    <w:uiPriority w:val="99"/>
    <w:unhideWhenUsed/>
    <w:rsid w:val="00AA69D6"/>
    <w:rPr>
      <w:sz w:val="16"/>
      <w:szCs w:val="16"/>
    </w:rPr>
  </w:style>
  <w:style w:type="paragraph" w:styleId="CommentText">
    <w:name w:val="annotation text"/>
    <w:basedOn w:val="Normal"/>
    <w:link w:val="CommentTextChar"/>
    <w:uiPriority w:val="99"/>
    <w:unhideWhenUsed/>
    <w:rsid w:val="00AA69D6"/>
    <w:pPr>
      <w:spacing w:line="240" w:lineRule="auto"/>
    </w:pPr>
    <w:rPr>
      <w:sz w:val="20"/>
      <w:szCs w:val="20"/>
    </w:rPr>
  </w:style>
  <w:style w:type="character" w:customStyle="1" w:styleId="CommentTextChar">
    <w:name w:val="Comment Text Char"/>
    <w:basedOn w:val="DefaultParagraphFont"/>
    <w:link w:val="CommentText"/>
    <w:uiPriority w:val="99"/>
    <w:rsid w:val="00AA69D6"/>
    <w:rPr>
      <w:sz w:val="20"/>
      <w:szCs w:val="20"/>
    </w:rPr>
  </w:style>
  <w:style w:type="paragraph" w:styleId="CommentSubject">
    <w:name w:val="annotation subject"/>
    <w:basedOn w:val="CommentText"/>
    <w:next w:val="CommentText"/>
    <w:link w:val="CommentSubjectChar"/>
    <w:uiPriority w:val="99"/>
    <w:semiHidden/>
    <w:unhideWhenUsed/>
    <w:rsid w:val="00AA69D6"/>
    <w:rPr>
      <w:b/>
      <w:bCs/>
    </w:rPr>
  </w:style>
  <w:style w:type="character" w:customStyle="1" w:styleId="CommentSubjectChar">
    <w:name w:val="Comment Subject Char"/>
    <w:basedOn w:val="CommentTextChar"/>
    <w:link w:val="CommentSubject"/>
    <w:uiPriority w:val="99"/>
    <w:semiHidden/>
    <w:rsid w:val="00AA69D6"/>
    <w:rPr>
      <w:b/>
      <w:bCs/>
      <w:sz w:val="20"/>
      <w:szCs w:val="20"/>
    </w:rPr>
  </w:style>
  <w:style w:type="character" w:customStyle="1" w:styleId="BodyTextChar">
    <w:name w:val="Body Text Char"/>
    <w:basedOn w:val="DefaultParagraphFont"/>
    <w:link w:val="BodyText"/>
    <w:rsid w:val="004B15B7"/>
    <w:rPr>
      <w:rFonts w:ascii="Calibri" w:eastAsia="Calibri" w:hAnsi="Calibri" w:cs="Calibri"/>
      <w:sz w:val="24"/>
      <w:szCs w:val="24"/>
    </w:rPr>
  </w:style>
  <w:style w:type="paragraph" w:styleId="BodyText">
    <w:name w:val="Body Text"/>
    <w:basedOn w:val="Normal"/>
    <w:link w:val="BodyTextChar"/>
    <w:qFormat/>
    <w:rsid w:val="004B15B7"/>
    <w:pPr>
      <w:widowControl w:val="0"/>
      <w:spacing w:after="0" w:line="240" w:lineRule="auto"/>
    </w:pPr>
    <w:rPr>
      <w:rFonts w:ascii="Calibri" w:eastAsia="Calibri" w:hAnsi="Calibri" w:cs="Calibri"/>
      <w:sz w:val="24"/>
      <w:szCs w:val="24"/>
    </w:rPr>
  </w:style>
  <w:style w:type="character" w:customStyle="1" w:styleId="BodyTextChar1">
    <w:name w:val="Body Text Char1"/>
    <w:basedOn w:val="DefaultParagraphFont"/>
    <w:uiPriority w:val="99"/>
    <w:semiHidden/>
    <w:rsid w:val="004B15B7"/>
  </w:style>
  <w:style w:type="character" w:customStyle="1" w:styleId="markedcontent">
    <w:name w:val="markedcontent"/>
    <w:basedOn w:val="DefaultParagraphFont"/>
    <w:rsid w:val="00823AA0"/>
  </w:style>
  <w:style w:type="character" w:customStyle="1" w:styleId="Other">
    <w:name w:val="Other_"/>
    <w:basedOn w:val="DefaultParagraphFont"/>
    <w:link w:val="Other0"/>
    <w:rsid w:val="00A0634A"/>
    <w:rPr>
      <w:rFonts w:ascii="Calibri" w:eastAsia="Calibri" w:hAnsi="Calibri" w:cs="Calibri"/>
    </w:rPr>
  </w:style>
  <w:style w:type="paragraph" w:customStyle="1" w:styleId="Other0">
    <w:name w:val="Other"/>
    <w:basedOn w:val="Normal"/>
    <w:link w:val="Other"/>
    <w:rsid w:val="00A0634A"/>
    <w:pPr>
      <w:widowControl w:val="0"/>
      <w:spacing w:after="0" w:line="240" w:lineRule="auto"/>
    </w:pPr>
    <w:rPr>
      <w:rFonts w:ascii="Calibri" w:eastAsia="Calibri" w:hAnsi="Calibri" w:cs="Calibri"/>
    </w:rPr>
  </w:style>
  <w:style w:type="character" w:styleId="Strong">
    <w:name w:val="Strong"/>
    <w:basedOn w:val="DefaultParagraphFont"/>
    <w:uiPriority w:val="22"/>
    <w:qFormat/>
    <w:rsid w:val="00BF6E55"/>
    <w:rPr>
      <w:b/>
      <w:bCs/>
    </w:rPr>
  </w:style>
  <w:style w:type="character" w:styleId="FollowedHyperlink">
    <w:name w:val="FollowedHyperlink"/>
    <w:basedOn w:val="DefaultParagraphFont"/>
    <w:uiPriority w:val="99"/>
    <w:semiHidden/>
    <w:unhideWhenUsed/>
    <w:rsid w:val="00552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76330">
      <w:bodyDiv w:val="1"/>
      <w:marLeft w:val="0"/>
      <w:marRight w:val="0"/>
      <w:marTop w:val="0"/>
      <w:marBottom w:val="0"/>
      <w:divBdr>
        <w:top w:val="none" w:sz="0" w:space="0" w:color="auto"/>
        <w:left w:val="none" w:sz="0" w:space="0" w:color="auto"/>
        <w:bottom w:val="none" w:sz="0" w:space="0" w:color="auto"/>
        <w:right w:val="none" w:sz="0" w:space="0" w:color="auto"/>
      </w:divBdr>
    </w:div>
    <w:div w:id="1353647231">
      <w:bodyDiv w:val="1"/>
      <w:marLeft w:val="0"/>
      <w:marRight w:val="0"/>
      <w:marTop w:val="0"/>
      <w:marBottom w:val="0"/>
      <w:divBdr>
        <w:top w:val="none" w:sz="0" w:space="0" w:color="auto"/>
        <w:left w:val="none" w:sz="0" w:space="0" w:color="auto"/>
        <w:bottom w:val="none" w:sz="0" w:space="0" w:color="auto"/>
        <w:right w:val="none" w:sz="0" w:space="0" w:color="auto"/>
      </w:divBdr>
    </w:div>
    <w:div w:id="1938437329">
      <w:bodyDiv w:val="1"/>
      <w:marLeft w:val="0"/>
      <w:marRight w:val="0"/>
      <w:marTop w:val="0"/>
      <w:marBottom w:val="0"/>
      <w:divBdr>
        <w:top w:val="none" w:sz="0" w:space="0" w:color="auto"/>
        <w:left w:val="none" w:sz="0" w:space="0" w:color="auto"/>
        <w:bottom w:val="none" w:sz="0" w:space="0" w:color="auto"/>
        <w:right w:val="none" w:sz="0" w:space="0" w:color="auto"/>
      </w:divBdr>
    </w:div>
    <w:div w:id="20464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inspire-geoportal.ec.europa.eu/mr2020_details.html?country=hr"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rdd.gov.hr/UserDocsImages/dokumenti/Akcijski%20plan%20za%20provedbu%20Strategije%20e-Hrvatska%202020.pd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geohrvatska.hr/" TargetMode="External"/><Relationship Id="rId17" Type="http://schemas.openxmlformats.org/officeDocument/2006/relationships/chart" Target="charts/chart5.xml"/><Relationship Id="rId25" Type="http://schemas.openxmlformats.org/officeDocument/2006/relationships/chart" Target="charts/chart8.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rgi.dgu.hr/wp-content/uploads/2016/04/Uvjeti_koristenja_WFS_RGI.pdf" TargetMode="External"/><Relationship Id="rId20" Type="http://schemas.openxmlformats.org/officeDocument/2006/relationships/hyperlink" Target="https://www.nipp.hr/UserDocsImages/dokumenti/dok-nippa/Strategija_e-Hrvatska_2020_OCR.pdf?vel=182337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7.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oss.uredjenazemlja.hr/public/inspire_dkp.jsp" TargetMode="External"/><Relationship Id="rId23" Type="http://schemas.openxmlformats.org/officeDocument/2006/relationships/chart" Target="charts/chart6.xm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inspire-geoportal.ec.europa.eu/mr2020_details.html?country=h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lex.europa.eu/legal-content/HR/TXT/HTML/?uri=CELEX:32007L0002&amp;from=EN" TargetMode="External"/><Relationship Id="rId14" Type="http://schemas.openxmlformats.org/officeDocument/2006/relationships/chart" Target="charts/chart4.xml"/><Relationship Id="rId22" Type="http://schemas.openxmlformats.org/officeDocument/2006/relationships/hyperlink" Target="https://rdd.gov.hr/UserDocsImages/dokumenti/Akcijski%20plan%20za%20provedbu%20Strategije%20e-Hrvatska%202020.pdf" TargetMode="External"/><Relationship Id="rId27" Type="http://schemas.openxmlformats.org/officeDocument/2006/relationships/image" Target="media/image2.PNG"/><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https://narodne-novine.nn.hr/clanci/sluzbeni/2017_09_96_2205.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2021\KOLOVOZ_2021\Izvjesce_Strategija_nastavak_od_srpnja\ANALIZA_ZADNJE\Brojevi_usluga_2021110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2021\SRPANJ_2021\Izvjesce_Strategija\Ankete_zadovosljtvo_korisnika_poslovni_modeli\Anketa%20o%20zadovoljstvu%20korisnika%20NIPP-a_sredjen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ciceli\AppData\Roaming\Microsoft\Excel\Postotak_ostvarenog_po_ciljevima_20211109_2_AG%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021\SRPANJ_2021\Izvjesce_Strategija\Ankete_zadovosljtvo_korisnika_poslovni_modeli\Upitnik%20-%20poslovni%20modeli%20(Odgovor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tciceliNEW\P%20O%20S%20A%20O\NIPP\NIPP%20CORE\Strategija%20NIPP-a\Izvje&#353;&#263;e\Radno\Drugi%20draft\Postotak_ostvarenog_po_ciljevima_20211109_3_A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3" Type="http://schemas.openxmlformats.org/officeDocument/2006/relationships/oleObject" Target="file:///D:\tciceliNEW\P%20O%20S%20A%20O\NIPP\NIPP%20CORE\Strategija%20NIPP-a\Izvje&#353;&#263;e\Radno\Prvi%20draft\Godine_izvori_Geoportal_NIPP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r-HR" sz="1200"/>
              <a:t>Usporedba brojeva izvora na Geoportalu NIPP-a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Izvori_subjekti!$P$2</c:f>
              <c:strCache>
                <c:ptCount val="1"/>
                <c:pt idx="0">
                  <c:v>2013.-2016.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Izvori_subjekti!$O$3:$O$5</c:f>
              <c:strCache>
                <c:ptCount val="3"/>
                <c:pt idx="0">
                  <c:v>SKUP/NIZ</c:v>
                </c:pt>
                <c:pt idx="1">
                  <c:v>USLUGA</c:v>
                </c:pt>
                <c:pt idx="2">
                  <c:v>UKUPNO</c:v>
                </c:pt>
              </c:strCache>
            </c:strRef>
          </c:cat>
          <c:val>
            <c:numRef>
              <c:f>Izvori_subjekti!$P$3:$P$5</c:f>
              <c:numCache>
                <c:formatCode>General</c:formatCode>
                <c:ptCount val="3"/>
                <c:pt idx="0">
                  <c:v>116</c:v>
                </c:pt>
                <c:pt idx="1">
                  <c:v>52</c:v>
                </c:pt>
                <c:pt idx="2">
                  <c:v>168</c:v>
                </c:pt>
              </c:numCache>
            </c:numRef>
          </c:val>
          <c:extLst>
            <c:ext xmlns:c16="http://schemas.microsoft.com/office/drawing/2014/chart" uri="{C3380CC4-5D6E-409C-BE32-E72D297353CC}">
              <c16:uniqueId val="{00000000-B2E5-4D2E-8A39-FE45B86B7437}"/>
            </c:ext>
          </c:extLst>
        </c:ser>
        <c:ser>
          <c:idx val="1"/>
          <c:order val="1"/>
          <c:tx>
            <c:strRef>
              <c:f>Izvori_subjekti!$Q$2</c:f>
              <c:strCache>
                <c:ptCount val="1"/>
                <c:pt idx="0">
                  <c:v>2017.-2020.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Izvori_subjekti!$O$3:$O$5</c:f>
              <c:strCache>
                <c:ptCount val="3"/>
                <c:pt idx="0">
                  <c:v>SKUP/NIZ</c:v>
                </c:pt>
                <c:pt idx="1">
                  <c:v>USLUGA</c:v>
                </c:pt>
                <c:pt idx="2">
                  <c:v>UKUPNO</c:v>
                </c:pt>
              </c:strCache>
            </c:strRef>
          </c:cat>
          <c:val>
            <c:numRef>
              <c:f>Izvori_subjekti!$Q$3:$Q$5</c:f>
              <c:numCache>
                <c:formatCode>General</c:formatCode>
                <c:ptCount val="3"/>
                <c:pt idx="0">
                  <c:v>113</c:v>
                </c:pt>
                <c:pt idx="1">
                  <c:v>178</c:v>
                </c:pt>
                <c:pt idx="2">
                  <c:v>291</c:v>
                </c:pt>
              </c:numCache>
            </c:numRef>
          </c:val>
          <c:extLst>
            <c:ext xmlns:c16="http://schemas.microsoft.com/office/drawing/2014/chart" uri="{C3380CC4-5D6E-409C-BE32-E72D297353CC}">
              <c16:uniqueId val="{00000001-B2E5-4D2E-8A39-FE45B86B7437}"/>
            </c:ext>
          </c:extLst>
        </c:ser>
        <c:dLbls>
          <c:showLegendKey val="0"/>
          <c:showVal val="0"/>
          <c:showCatName val="0"/>
          <c:showSerName val="0"/>
          <c:showPercent val="0"/>
          <c:showBubbleSize val="0"/>
        </c:dLbls>
        <c:gapWidth val="219"/>
        <c:overlap val="-27"/>
        <c:axId val="528625704"/>
        <c:axId val="528624064"/>
      </c:barChart>
      <c:catAx>
        <c:axId val="52862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8624064"/>
        <c:crosses val="autoZero"/>
        <c:auto val="1"/>
        <c:lblAlgn val="ctr"/>
        <c:lblOffset val="100"/>
        <c:noMultiLvlLbl val="0"/>
      </c:catAx>
      <c:valAx>
        <c:axId val="52862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8625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r-HR" sz="1200"/>
              <a:t>Skupovi dostupni kroz usluge pregleda i preuzimanja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Broj_skupova_dostupnih_kroz_usl!$B$247</c:f>
              <c:strCache>
                <c:ptCount val="1"/>
                <c:pt idx="0">
                  <c:v>2013-2016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Broj_skupova_dostupnih_kroz_usl!$C$246:$F$246</c:f>
              <c:strCache>
                <c:ptCount val="4"/>
                <c:pt idx="0">
                  <c:v>Skup/niz</c:v>
                </c:pt>
                <c:pt idx="1">
                  <c:v>Broj skupova dostupnih kroz WMS</c:v>
                </c:pt>
                <c:pt idx="2">
                  <c:v>Broj skupova dostupnih kroz WFS</c:v>
                </c:pt>
                <c:pt idx="3">
                  <c:v>Broj skupova dostupnih kroz ATOM</c:v>
                </c:pt>
              </c:strCache>
            </c:strRef>
          </c:cat>
          <c:val>
            <c:numRef>
              <c:f>Broj_skupova_dostupnih_kroz_usl!$C$247:$F$247</c:f>
              <c:numCache>
                <c:formatCode>General</c:formatCode>
                <c:ptCount val="4"/>
                <c:pt idx="0">
                  <c:v>116</c:v>
                </c:pt>
                <c:pt idx="1">
                  <c:v>40</c:v>
                </c:pt>
                <c:pt idx="2">
                  <c:v>22</c:v>
                </c:pt>
                <c:pt idx="3">
                  <c:v>1</c:v>
                </c:pt>
              </c:numCache>
            </c:numRef>
          </c:val>
          <c:extLst>
            <c:ext xmlns:c16="http://schemas.microsoft.com/office/drawing/2014/chart" uri="{C3380CC4-5D6E-409C-BE32-E72D297353CC}">
              <c16:uniqueId val="{00000000-F8FD-489D-89ED-68FA63F26400}"/>
            </c:ext>
          </c:extLst>
        </c:ser>
        <c:ser>
          <c:idx val="1"/>
          <c:order val="1"/>
          <c:tx>
            <c:strRef>
              <c:f>Broj_skupova_dostupnih_kroz_usl!$B$248</c:f>
              <c:strCache>
                <c:ptCount val="1"/>
                <c:pt idx="0">
                  <c:v>2017-2020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Broj_skupova_dostupnih_kroz_usl!$C$246:$F$246</c:f>
              <c:strCache>
                <c:ptCount val="4"/>
                <c:pt idx="0">
                  <c:v>Skup/niz</c:v>
                </c:pt>
                <c:pt idx="1">
                  <c:v>Broj skupova dostupnih kroz WMS</c:v>
                </c:pt>
                <c:pt idx="2">
                  <c:v>Broj skupova dostupnih kroz WFS</c:v>
                </c:pt>
                <c:pt idx="3">
                  <c:v>Broj skupova dostupnih kroz ATOM</c:v>
                </c:pt>
              </c:strCache>
            </c:strRef>
          </c:cat>
          <c:val>
            <c:numRef>
              <c:f>Broj_skupova_dostupnih_kroz_usl!$C$248:$F$248</c:f>
              <c:numCache>
                <c:formatCode>General</c:formatCode>
                <c:ptCount val="4"/>
                <c:pt idx="0">
                  <c:v>113</c:v>
                </c:pt>
                <c:pt idx="1">
                  <c:v>77</c:v>
                </c:pt>
                <c:pt idx="2">
                  <c:v>47</c:v>
                </c:pt>
                <c:pt idx="3">
                  <c:v>0</c:v>
                </c:pt>
              </c:numCache>
            </c:numRef>
          </c:val>
          <c:extLst>
            <c:ext xmlns:c16="http://schemas.microsoft.com/office/drawing/2014/chart" uri="{C3380CC4-5D6E-409C-BE32-E72D297353CC}">
              <c16:uniqueId val="{00000001-F8FD-489D-89ED-68FA63F26400}"/>
            </c:ext>
          </c:extLst>
        </c:ser>
        <c:dLbls>
          <c:showLegendKey val="0"/>
          <c:showVal val="0"/>
          <c:showCatName val="0"/>
          <c:showSerName val="0"/>
          <c:showPercent val="0"/>
          <c:showBubbleSize val="0"/>
        </c:dLbls>
        <c:gapWidth val="182"/>
        <c:axId val="381880976"/>
        <c:axId val="381881304"/>
      </c:barChart>
      <c:catAx>
        <c:axId val="3818809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81881304"/>
        <c:crosses val="autoZero"/>
        <c:auto val="1"/>
        <c:lblAlgn val="ctr"/>
        <c:lblOffset val="100"/>
        <c:noMultiLvlLbl val="0"/>
      </c:catAx>
      <c:valAx>
        <c:axId val="38188130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81880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hr-HR" sz="1100" b="0"/>
              <a:t>Koliko ste zadovoljni s dostupnošću prostornih podataka za pregled i preuzimanje putem proizvoda NIPP-a?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title>
    <c:autoTitleDeleted val="0"/>
    <c:pivotFmts>
      <c:pivotFmt>
        <c:idx val="0"/>
      </c:pivotFmt>
      <c:pivotFmt>
        <c:idx val="1"/>
      </c:pivotFmt>
      <c:pivotFmt>
        <c:idx val="2"/>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pivotFmt>
    </c:pivotFmts>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A2-41C7-9B4B-0CEF1D014E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(2)'!$A$70:$A$72</c:f>
              <c:strCache>
                <c:ptCount val="3"/>
                <c:pt idx="0">
                  <c:v>Ne koristim proizvode NIPP-a</c:v>
                </c:pt>
                <c:pt idx="1">
                  <c:v>Nisam zadovoljan</c:v>
                </c:pt>
                <c:pt idx="2">
                  <c:v>Zadovoljan sam</c:v>
                </c:pt>
              </c:strCache>
            </c:strRef>
          </c:cat>
          <c:val>
            <c:numRef>
              <c:f>'Sheet1 (2)'!$C$70:$C$72</c:f>
              <c:numCache>
                <c:formatCode>0%</c:formatCode>
                <c:ptCount val="3"/>
                <c:pt idx="0">
                  <c:v>4.7619047619047616E-2</c:v>
                </c:pt>
                <c:pt idx="1">
                  <c:v>9.5238095238095233E-2</c:v>
                </c:pt>
                <c:pt idx="2">
                  <c:v>0.8571428571428571</c:v>
                </c:pt>
              </c:numCache>
            </c:numRef>
          </c:val>
          <c:extLst>
            <c:ext xmlns:c16="http://schemas.microsoft.com/office/drawing/2014/chart" uri="{C3380CC4-5D6E-409C-BE32-E72D297353CC}">
              <c16:uniqueId val="{00000000-68D1-42FD-AF9C-BBC98528134B}"/>
            </c:ext>
          </c:extLst>
        </c:ser>
        <c:dLbls>
          <c:showLegendKey val="0"/>
          <c:showVal val="0"/>
          <c:showCatName val="0"/>
          <c:showSerName val="0"/>
          <c:showPercent val="0"/>
          <c:showBubbleSize val="0"/>
        </c:dLbls>
        <c:gapWidth val="115"/>
        <c:overlap val="-20"/>
        <c:axId val="482314624"/>
        <c:axId val="482319544"/>
      </c:barChart>
      <c:catAx>
        <c:axId val="4823146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r-Latn-RS"/>
          </a:p>
        </c:txPr>
        <c:crossAx val="482319544"/>
        <c:crosses val="autoZero"/>
        <c:auto val="1"/>
        <c:lblAlgn val="ctr"/>
        <c:lblOffset val="100"/>
        <c:noMultiLvlLbl val="0"/>
      </c:catAx>
      <c:valAx>
        <c:axId val="482319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231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a:t>Koliko ste zadovoljni s kvalitetom skupova podataka i usluga koji su dostupni putem NIPP-a?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layout>
                <c:manualLayout>
                  <c:x val="-4.682313761839155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23-406E-B7BF-E0668C4E64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Kvaliteta_podataka!$A$19:$A$20</c:f>
              <c:strCache>
                <c:ptCount val="2"/>
                <c:pt idx="0">
                  <c:v>Nisam zadovoljan</c:v>
                </c:pt>
                <c:pt idx="1">
                  <c:v>Zadovoljan sam</c:v>
                </c:pt>
              </c:strCache>
            </c:strRef>
          </c:cat>
          <c:val>
            <c:numRef>
              <c:f>Kvaliteta_podataka!$B$19:$B$20</c:f>
              <c:numCache>
                <c:formatCode>0%</c:formatCode>
                <c:ptCount val="2"/>
                <c:pt idx="0">
                  <c:v>5.2631578947368418E-2</c:v>
                </c:pt>
                <c:pt idx="1">
                  <c:v>0.95</c:v>
                </c:pt>
              </c:numCache>
            </c:numRef>
          </c:val>
          <c:extLst>
            <c:ext xmlns:c16="http://schemas.microsoft.com/office/drawing/2014/chart" uri="{C3380CC4-5D6E-409C-BE32-E72D297353CC}">
              <c16:uniqueId val="{00000001-4F23-406E-B7BF-E0668C4E6482}"/>
            </c:ext>
          </c:extLst>
        </c:ser>
        <c:dLbls>
          <c:dLblPos val="inEnd"/>
          <c:showLegendKey val="0"/>
          <c:showVal val="1"/>
          <c:showCatName val="0"/>
          <c:showSerName val="0"/>
          <c:showPercent val="0"/>
          <c:showBubbleSize val="0"/>
        </c:dLbls>
        <c:gapWidth val="182"/>
        <c:axId val="568609200"/>
        <c:axId val="568602312"/>
      </c:barChart>
      <c:catAx>
        <c:axId val="568609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68602312"/>
        <c:crosses val="autoZero"/>
        <c:auto val="1"/>
        <c:lblAlgn val="ctr"/>
        <c:lblOffset val="100"/>
        <c:noMultiLvlLbl val="0"/>
      </c:catAx>
      <c:valAx>
        <c:axId val="568602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6860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r>
              <a:rPr lang="hr-HR" sz="1200">
                <a:solidFill>
                  <a:sysClr val="windowText" lastClr="000000"/>
                </a:solidFill>
                <a:latin typeface="+mj-lt"/>
              </a:rPr>
              <a:t>Ima li vaša institucija uspostavljen poslovni model?</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endParaRPr lang="sr-Latn-R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1F9-4AEF-A535-303A1C53383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1F9-4AEF-A535-303A1C53383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1F9-4AEF-A535-303A1C53383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'Odgovori iz obrasca 1'!$F$12:$F$14</c:f>
              <c:strCache>
                <c:ptCount val="3"/>
                <c:pt idx="0">
                  <c:v>Ne</c:v>
                </c:pt>
                <c:pt idx="1">
                  <c:v>Ne znam</c:v>
                </c:pt>
                <c:pt idx="2">
                  <c:v>Ostalo</c:v>
                </c:pt>
              </c:strCache>
            </c:strRef>
          </c:cat>
          <c:val>
            <c:numRef>
              <c:f>'Odgovori iz obrasca 1'!$H$12:$H$14</c:f>
              <c:numCache>
                <c:formatCode>0%</c:formatCode>
                <c:ptCount val="3"/>
                <c:pt idx="0">
                  <c:v>0.55555555555555558</c:v>
                </c:pt>
                <c:pt idx="1">
                  <c:v>0.33333333333333331</c:v>
                </c:pt>
                <c:pt idx="2">
                  <c:v>0.1111111111111111</c:v>
                </c:pt>
              </c:numCache>
            </c:numRef>
          </c:val>
          <c:extLst>
            <c:ext xmlns:c16="http://schemas.microsoft.com/office/drawing/2014/chart" uri="{C3380CC4-5D6E-409C-BE32-E72D297353CC}">
              <c16:uniqueId val="{00000006-41F9-4AEF-A535-303A1C53383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hr-HR" sz="1400"/>
              <a:t>Prosječna ostvarenost strateških ciljeva iz Strategije NIPP-a 2020. </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sr-Latn-RS"/>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Ciljevi!$C$188:$C$194</c:f>
              <c:strCache>
                <c:ptCount val="7"/>
                <c:pt idx="0">
                  <c:v>Strateški cilj br. 1</c:v>
                </c:pt>
                <c:pt idx="1">
                  <c:v>Strateški cilj br. 2</c:v>
                </c:pt>
                <c:pt idx="2">
                  <c:v>Strateški cilj br. 3</c:v>
                </c:pt>
                <c:pt idx="3">
                  <c:v>Strateški cilj br. 4</c:v>
                </c:pt>
                <c:pt idx="4">
                  <c:v>Strateški cilj br. 5</c:v>
                </c:pt>
                <c:pt idx="5">
                  <c:v>Strateški cilj br. 6</c:v>
                </c:pt>
                <c:pt idx="6">
                  <c:v>Strateški cilj br. 7</c:v>
                </c:pt>
              </c:strCache>
            </c:strRef>
          </c:cat>
          <c:val>
            <c:numRef>
              <c:f>Ciljevi!$D$188:$D$194</c:f>
              <c:numCache>
                <c:formatCode>0%</c:formatCode>
                <c:ptCount val="7"/>
                <c:pt idx="0">
                  <c:v>0.64266666666666672</c:v>
                </c:pt>
                <c:pt idx="1">
                  <c:v>0.65326851851851842</c:v>
                </c:pt>
                <c:pt idx="2">
                  <c:v>0.91500000000000004</c:v>
                </c:pt>
                <c:pt idx="3">
                  <c:v>1</c:v>
                </c:pt>
                <c:pt idx="4">
                  <c:v>0.90335959259259246</c:v>
                </c:pt>
                <c:pt idx="5">
                  <c:v>0.50454545454545452</c:v>
                </c:pt>
                <c:pt idx="6">
                  <c:v>0.78865884652981433</c:v>
                </c:pt>
              </c:numCache>
            </c:numRef>
          </c:val>
          <c:extLst>
            <c:ext xmlns:c16="http://schemas.microsoft.com/office/drawing/2014/chart" uri="{C3380CC4-5D6E-409C-BE32-E72D297353CC}">
              <c16:uniqueId val="{00000000-FDFB-4C6D-8DC1-5A66A8A0C986}"/>
            </c:ext>
          </c:extLst>
        </c:ser>
        <c:dLbls>
          <c:dLblPos val="inEnd"/>
          <c:showLegendKey val="0"/>
          <c:showVal val="1"/>
          <c:showCatName val="0"/>
          <c:showSerName val="0"/>
          <c:showPercent val="0"/>
          <c:showBubbleSize val="0"/>
        </c:dLbls>
        <c:gapWidth val="41"/>
        <c:axId val="631147240"/>
        <c:axId val="631145600"/>
      </c:barChart>
      <c:catAx>
        <c:axId val="6311472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sr-Latn-RS"/>
          </a:p>
        </c:txPr>
        <c:crossAx val="631145600"/>
        <c:crosses val="autoZero"/>
        <c:auto val="1"/>
        <c:lblAlgn val="ctr"/>
        <c:lblOffset val="100"/>
        <c:noMultiLvlLbl val="0"/>
      </c:catAx>
      <c:valAx>
        <c:axId val="631145600"/>
        <c:scaling>
          <c:orientation val="minMax"/>
        </c:scaling>
        <c:delete val="1"/>
        <c:axPos val="l"/>
        <c:numFmt formatCode="0%" sourceLinked="1"/>
        <c:majorTickMark val="none"/>
        <c:minorTickMark val="none"/>
        <c:tickLblPos val="nextTo"/>
        <c:crossAx val="63114724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r-HR" sz="1200"/>
              <a:t>Usporedba brojeva izvora na Geoportalu NIPP-a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Izvori_subjekti!$P$2</c:f>
              <c:strCache>
                <c:ptCount val="1"/>
                <c:pt idx="0">
                  <c:v>2013.-2016.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Izvori_subjekti!$O$3:$O$5</c:f>
              <c:strCache>
                <c:ptCount val="3"/>
                <c:pt idx="0">
                  <c:v>SKUP/NIZ</c:v>
                </c:pt>
                <c:pt idx="1">
                  <c:v>USLUGA</c:v>
                </c:pt>
                <c:pt idx="2">
                  <c:v>UKUPNO</c:v>
                </c:pt>
              </c:strCache>
            </c:strRef>
          </c:cat>
          <c:val>
            <c:numRef>
              <c:f>Izvori_subjekti!$P$3:$P$5</c:f>
              <c:numCache>
                <c:formatCode>General</c:formatCode>
                <c:ptCount val="3"/>
                <c:pt idx="0">
                  <c:v>116</c:v>
                </c:pt>
                <c:pt idx="1">
                  <c:v>52</c:v>
                </c:pt>
                <c:pt idx="2">
                  <c:v>168</c:v>
                </c:pt>
              </c:numCache>
            </c:numRef>
          </c:val>
          <c:extLst>
            <c:ext xmlns:c16="http://schemas.microsoft.com/office/drawing/2014/chart" uri="{C3380CC4-5D6E-409C-BE32-E72D297353CC}">
              <c16:uniqueId val="{00000000-583D-471F-8C3F-FCBA0CDD2FA4}"/>
            </c:ext>
          </c:extLst>
        </c:ser>
        <c:ser>
          <c:idx val="1"/>
          <c:order val="1"/>
          <c:tx>
            <c:strRef>
              <c:f>Izvori_subjekti!$Q$2</c:f>
              <c:strCache>
                <c:ptCount val="1"/>
                <c:pt idx="0">
                  <c:v>2017.-2020.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Izvori_subjekti!$O$3:$O$5</c:f>
              <c:strCache>
                <c:ptCount val="3"/>
                <c:pt idx="0">
                  <c:v>SKUP/NIZ</c:v>
                </c:pt>
                <c:pt idx="1">
                  <c:v>USLUGA</c:v>
                </c:pt>
                <c:pt idx="2">
                  <c:v>UKUPNO</c:v>
                </c:pt>
              </c:strCache>
            </c:strRef>
          </c:cat>
          <c:val>
            <c:numRef>
              <c:f>Izvori_subjekti!$Q$3:$Q$5</c:f>
              <c:numCache>
                <c:formatCode>General</c:formatCode>
                <c:ptCount val="3"/>
                <c:pt idx="0">
                  <c:v>113</c:v>
                </c:pt>
                <c:pt idx="1">
                  <c:v>178</c:v>
                </c:pt>
                <c:pt idx="2">
                  <c:v>291</c:v>
                </c:pt>
              </c:numCache>
            </c:numRef>
          </c:val>
          <c:extLst>
            <c:ext xmlns:c16="http://schemas.microsoft.com/office/drawing/2014/chart" uri="{C3380CC4-5D6E-409C-BE32-E72D297353CC}">
              <c16:uniqueId val="{00000001-583D-471F-8C3F-FCBA0CDD2FA4}"/>
            </c:ext>
          </c:extLst>
        </c:ser>
        <c:dLbls>
          <c:showLegendKey val="0"/>
          <c:showVal val="0"/>
          <c:showCatName val="0"/>
          <c:showSerName val="0"/>
          <c:showPercent val="0"/>
          <c:showBubbleSize val="0"/>
        </c:dLbls>
        <c:gapWidth val="219"/>
        <c:overlap val="-27"/>
        <c:axId val="528625704"/>
        <c:axId val="528624064"/>
      </c:barChart>
      <c:catAx>
        <c:axId val="52862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8624064"/>
        <c:crosses val="autoZero"/>
        <c:auto val="1"/>
        <c:lblAlgn val="ctr"/>
        <c:lblOffset val="100"/>
        <c:noMultiLvlLbl val="0"/>
      </c:catAx>
      <c:valAx>
        <c:axId val="52862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8625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a:t>Broj zapisa</a:t>
            </a:r>
            <a:r>
              <a:rPr lang="hr-HR" sz="1400"/>
              <a:t> u Katalogu metapodataka NIPP-a</a:t>
            </a:r>
            <a:r>
              <a:rPr lang="en-US" sz="1400"/>
              <a:t>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[Godine_izvori_Geoportal_NIPPa.xlsx]Sheet1!$L$50</c:f>
              <c:strCache>
                <c:ptCount val="1"/>
                <c:pt idx="0">
                  <c:v>SKUP/NIZ</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[Godine_izvori_Geoportal_NIPPa.xlsx]Sheet1!$O$51:$O$54</c:f>
              <c:numCache>
                <c:formatCode>General</c:formatCode>
                <c:ptCount val="4"/>
                <c:pt idx="0">
                  <c:v>2017</c:v>
                </c:pt>
                <c:pt idx="1">
                  <c:v>2018</c:v>
                </c:pt>
                <c:pt idx="2">
                  <c:v>2019</c:v>
                </c:pt>
                <c:pt idx="3">
                  <c:v>2020</c:v>
                </c:pt>
              </c:numCache>
            </c:numRef>
          </c:cat>
          <c:val>
            <c:numRef>
              <c:f>[Godine_izvori_Geoportal_NIPPa.xlsx]Sheet1!$L$51:$L$54</c:f>
              <c:numCache>
                <c:formatCode>General</c:formatCode>
                <c:ptCount val="4"/>
                <c:pt idx="0">
                  <c:v>12</c:v>
                </c:pt>
                <c:pt idx="1">
                  <c:v>8</c:v>
                </c:pt>
                <c:pt idx="2">
                  <c:v>60</c:v>
                </c:pt>
                <c:pt idx="3">
                  <c:v>32</c:v>
                </c:pt>
              </c:numCache>
            </c:numRef>
          </c:val>
          <c:extLst>
            <c:ext xmlns:c16="http://schemas.microsoft.com/office/drawing/2014/chart" uri="{C3380CC4-5D6E-409C-BE32-E72D297353CC}">
              <c16:uniqueId val="{00000000-D07A-48EF-AD8D-CDFAAAF88E42}"/>
            </c:ext>
          </c:extLst>
        </c:ser>
        <c:ser>
          <c:idx val="1"/>
          <c:order val="1"/>
          <c:tx>
            <c:strRef>
              <c:f>[Godine_izvori_Geoportal_NIPPa.xlsx]Sheet1!$M$50</c:f>
              <c:strCache>
                <c:ptCount val="1"/>
                <c:pt idx="0">
                  <c:v>USLUGA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[Godine_izvori_Geoportal_NIPPa.xlsx]Sheet1!$O$51:$O$54</c:f>
              <c:numCache>
                <c:formatCode>General</c:formatCode>
                <c:ptCount val="4"/>
                <c:pt idx="0">
                  <c:v>2017</c:v>
                </c:pt>
                <c:pt idx="1">
                  <c:v>2018</c:v>
                </c:pt>
                <c:pt idx="2">
                  <c:v>2019</c:v>
                </c:pt>
                <c:pt idx="3">
                  <c:v>2020</c:v>
                </c:pt>
              </c:numCache>
            </c:numRef>
          </c:cat>
          <c:val>
            <c:numRef>
              <c:f>[Godine_izvori_Geoportal_NIPPa.xlsx]Sheet1!$M$51:$M$54</c:f>
              <c:numCache>
                <c:formatCode>General</c:formatCode>
                <c:ptCount val="4"/>
                <c:pt idx="0">
                  <c:v>10</c:v>
                </c:pt>
                <c:pt idx="1">
                  <c:v>10</c:v>
                </c:pt>
                <c:pt idx="2">
                  <c:v>127</c:v>
                </c:pt>
                <c:pt idx="3">
                  <c:v>28</c:v>
                </c:pt>
              </c:numCache>
            </c:numRef>
          </c:val>
          <c:extLst>
            <c:ext xmlns:c16="http://schemas.microsoft.com/office/drawing/2014/chart" uri="{C3380CC4-5D6E-409C-BE32-E72D297353CC}">
              <c16:uniqueId val="{00000001-D07A-48EF-AD8D-CDFAAAF88E42}"/>
            </c:ext>
          </c:extLst>
        </c:ser>
        <c:ser>
          <c:idx val="2"/>
          <c:order val="2"/>
          <c:tx>
            <c:strRef>
              <c:f>[Godine_izvori_Geoportal_NIPPa.xlsx]Sheet1!$N$50</c:f>
              <c:strCache>
                <c:ptCount val="1"/>
                <c:pt idx="0">
                  <c:v>IZVORI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[Godine_izvori_Geoportal_NIPPa.xlsx]Sheet1!$O$51:$O$54</c:f>
              <c:numCache>
                <c:formatCode>General</c:formatCode>
                <c:ptCount val="4"/>
                <c:pt idx="0">
                  <c:v>2017</c:v>
                </c:pt>
                <c:pt idx="1">
                  <c:v>2018</c:v>
                </c:pt>
                <c:pt idx="2">
                  <c:v>2019</c:v>
                </c:pt>
                <c:pt idx="3">
                  <c:v>2020</c:v>
                </c:pt>
              </c:numCache>
            </c:numRef>
          </c:cat>
          <c:val>
            <c:numRef>
              <c:f>[Godine_izvori_Geoportal_NIPPa.xlsx]Sheet1!$N$51:$N$54</c:f>
              <c:numCache>
                <c:formatCode>General</c:formatCode>
                <c:ptCount val="4"/>
                <c:pt idx="0">
                  <c:v>22</c:v>
                </c:pt>
                <c:pt idx="1">
                  <c:v>18</c:v>
                </c:pt>
                <c:pt idx="2">
                  <c:v>187</c:v>
                </c:pt>
                <c:pt idx="3">
                  <c:v>60</c:v>
                </c:pt>
              </c:numCache>
            </c:numRef>
          </c:val>
          <c:extLst>
            <c:ext xmlns:c16="http://schemas.microsoft.com/office/drawing/2014/chart" uri="{C3380CC4-5D6E-409C-BE32-E72D297353CC}">
              <c16:uniqueId val="{00000002-D07A-48EF-AD8D-CDFAAAF88E42}"/>
            </c:ext>
          </c:extLst>
        </c:ser>
        <c:dLbls>
          <c:showLegendKey val="0"/>
          <c:showVal val="0"/>
          <c:showCatName val="0"/>
          <c:showSerName val="0"/>
          <c:showPercent val="0"/>
          <c:showBubbleSize val="0"/>
        </c:dLbls>
        <c:gapWidth val="100"/>
        <c:overlap val="-24"/>
        <c:axId val="549942784"/>
        <c:axId val="549939832"/>
      </c:barChart>
      <c:catAx>
        <c:axId val="5499427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49939832"/>
        <c:crosses val="autoZero"/>
        <c:auto val="1"/>
        <c:lblAlgn val="ctr"/>
        <c:lblOffset val="100"/>
        <c:noMultiLvlLbl val="0"/>
      </c:catAx>
      <c:valAx>
        <c:axId val="549939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4994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AZJMDCZ6QSYZ-1849078857-12623</_dlc_DocId>
    <_dlc_DocIdUrl xmlns="a494813a-d0d8-4dad-94cb-0d196f36ba15">
      <Url>https://ekoordinacije.vlada.hr/koordinacija-gospodarstvo/_layouts/15/DocIdRedir.aspx?ID=AZJMDCZ6QSYZ-1849078857-12623</Url>
      <Description>AZJMDCZ6QSYZ-1849078857-12623</Description>
    </_dlc_DocIdUrl>
  </documentManagement>
</p:properties>
</file>

<file path=customXml/itemProps1.xml><?xml version="1.0" encoding="utf-8"?>
<ds:datastoreItem xmlns:ds="http://schemas.openxmlformats.org/officeDocument/2006/customXml" ds:itemID="{37AE02F6-EA30-4F36-ACDC-9724E240B013}">
  <ds:schemaRefs>
    <ds:schemaRef ds:uri="http://schemas.openxmlformats.org/officeDocument/2006/bibliography"/>
  </ds:schemaRefs>
</ds:datastoreItem>
</file>

<file path=customXml/itemProps2.xml><?xml version="1.0" encoding="utf-8"?>
<ds:datastoreItem xmlns:ds="http://schemas.openxmlformats.org/officeDocument/2006/customXml" ds:itemID="{8F1C8280-99A8-4635-8AFA-CBC100A5B32E}"/>
</file>

<file path=customXml/itemProps3.xml><?xml version="1.0" encoding="utf-8"?>
<ds:datastoreItem xmlns:ds="http://schemas.openxmlformats.org/officeDocument/2006/customXml" ds:itemID="{3EDAD610-6565-4F44-BC82-B79F020FAF4D}"/>
</file>

<file path=customXml/itemProps4.xml><?xml version="1.0" encoding="utf-8"?>
<ds:datastoreItem xmlns:ds="http://schemas.openxmlformats.org/officeDocument/2006/customXml" ds:itemID="{DC12EFD0-5B99-4045-80D9-21A0AC3C10D9}"/>
</file>

<file path=customXml/itemProps5.xml><?xml version="1.0" encoding="utf-8"?>
<ds:datastoreItem xmlns:ds="http://schemas.openxmlformats.org/officeDocument/2006/customXml" ds:itemID="{A490D4F5-E0FD-48C4-A46E-02AB144A0B76}"/>
</file>

<file path=docProps/app.xml><?xml version="1.0" encoding="utf-8"?>
<Properties xmlns="http://schemas.openxmlformats.org/officeDocument/2006/extended-properties" xmlns:vt="http://schemas.openxmlformats.org/officeDocument/2006/docPropsVTypes">
  <Template>Normal</Template>
  <TotalTime>46</TotalTime>
  <Pages>31</Pages>
  <Words>10124</Words>
  <Characters>57712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Geceg Ana;Ciceli Tomislav</dc:creator>
  <cp:keywords/>
  <dc:description/>
  <cp:lastModifiedBy>LJM</cp:lastModifiedBy>
  <cp:revision>7</cp:revision>
  <cp:lastPrinted>2021-12-07T08:17:00Z</cp:lastPrinted>
  <dcterms:created xsi:type="dcterms:W3CDTF">2021-12-22T12:53:00Z</dcterms:created>
  <dcterms:modified xsi:type="dcterms:W3CDTF">2021-12-22T14:40:00Z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7f8b8616-b5bb-4381-b1fe-0af8317799a3</vt:lpwstr>
  </property>
</Properties>
</file>